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7A954" w14:textId="77777777" w:rsidR="00C45FE8" w:rsidRPr="00C45FE8" w:rsidRDefault="00C45FE8" w:rsidP="00C45FE8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bookmarkStart w:id="1" w:name="_Hlk127529880"/>
      <w:r w:rsidRPr="00C45F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478/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9933</w:t>
      </w:r>
      <w:r w:rsidRPr="00C45F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C45F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45F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45F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45F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kwietnia 2023 r.</w:t>
      </w:r>
      <w:bookmarkEnd w:id="0"/>
    </w:p>
    <w:p w14:paraId="6AA7CCBC" w14:textId="77777777" w:rsidR="001626A1" w:rsidRPr="001626A1" w:rsidRDefault="001626A1" w:rsidP="00C45FE8">
      <w:pPr>
        <w:spacing w:before="240" w:after="24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w sprawie przyznania dotacji celowej dla Wojewódzkiej Stacji Pogotowia Ratunkowego w Przemyślu z przeznaczeniem na zadanie pn. „Dofinansowanie zakupu specjalistycznego sprzętu na doposażenie zespoł</w:t>
      </w:r>
      <w:r w:rsidR="009E53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u</w:t>
      </w: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 xml:space="preserve"> ratownictwa medycznego</w:t>
      </w:r>
      <w:r w:rsidR="009E53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 xml:space="preserve"> w Wojewódzkiej Stacji Pogotowia Ratunkowego w Przemyślu SP ZOZ</w:t>
      </w:r>
      <w:r w:rsidRPr="001626A1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66449A" w14:textId="77777777" w:rsidR="001626A1" w:rsidRPr="001626A1" w:rsidRDefault="001626A1" w:rsidP="001626A1">
      <w:pPr>
        <w:spacing w:before="240" w:after="24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2022 r., poz. 633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zm.), oraz Uchwały Nr LVI/946/22 Sejmiku Województwa Podkarpackiego z dnia 28 grudnia 2022 r. w sprawie budżetu Województwa Podkarpackiego na 2023 rok z </w:t>
      </w:r>
      <w:proofErr w:type="spellStart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</w:p>
    <w:p w14:paraId="6862AEE5" w14:textId="77777777" w:rsidR="001626A1" w:rsidRPr="001626A1" w:rsidRDefault="001626A1" w:rsidP="001626A1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 Województwa Podkarpackiego w Rzeszowie </w:t>
      </w:r>
    </w:p>
    <w:p w14:paraId="2CDC7710" w14:textId="77777777" w:rsidR="001626A1" w:rsidRPr="001626A1" w:rsidRDefault="001626A1" w:rsidP="001626A1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20D05B8F" w14:textId="77777777" w:rsidR="001626A1" w:rsidRPr="001626A1" w:rsidRDefault="001626A1" w:rsidP="001626A1">
      <w:pPr>
        <w:spacing w:before="240"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74554002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 się warunki przekazania oraz rozliczania dotacji celowej dla Wojewódzkiej Stacji Pogotowia Ratunkowego w Przemyślu SP ZOZ w kwocie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50</w:t>
      </w:r>
      <w:r w:rsidR="00757F0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000 zł (słownie: sto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pięćdziesiąt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tysięcy 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złotych) zgodnie 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umową, której projekt stanowi załącznik do niniejszej uchwały.</w:t>
      </w:r>
    </w:p>
    <w:p w14:paraId="05857C60" w14:textId="77777777" w:rsidR="001626A1" w:rsidRPr="001626A1" w:rsidRDefault="001626A1" w:rsidP="001626A1">
      <w:pPr>
        <w:spacing w:before="24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14:paraId="6D0114DC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Departamentu Ochrony Zdrowia i</w:t>
      </w:r>
      <w:r w:rsidR="001508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Polityki Społecznej.</w:t>
      </w:r>
    </w:p>
    <w:p w14:paraId="5D8A3FA5" w14:textId="77777777" w:rsidR="001626A1" w:rsidRPr="001626A1" w:rsidRDefault="001626A1" w:rsidP="001626A1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14:paraId="1BB8835F" w14:textId="77777777" w:rsidR="001626A1" w:rsidRDefault="001626A1" w:rsidP="001626A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52B6498F" w14:textId="77777777" w:rsidR="00E4685C" w:rsidRDefault="00E4685C" w:rsidP="001626A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5E5B6D" w14:textId="77777777" w:rsidR="00E4685C" w:rsidRPr="00D519A7" w:rsidRDefault="00E4685C" w:rsidP="00E4685C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3E658BC" w14:textId="77777777" w:rsidR="00E4685C" w:rsidRPr="00D519A7" w:rsidRDefault="00E4685C" w:rsidP="00E4685C">
      <w:pPr>
        <w:spacing w:after="0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7A644A6" w14:textId="77777777" w:rsidR="00E4685C" w:rsidRPr="001626A1" w:rsidRDefault="00E4685C" w:rsidP="001626A1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094929B" w14:textId="77777777" w:rsidR="001626A1" w:rsidRPr="001626A1" w:rsidRDefault="001626A1" w:rsidP="001626A1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6A1">
        <w:rPr>
          <w:rFonts w:ascii="Arial" w:hAnsi="Arial" w:cs="Arial"/>
          <w:color w:val="000000"/>
          <w:sz w:val="24"/>
          <w:szCs w:val="24"/>
        </w:rPr>
        <w:br w:type="page"/>
      </w:r>
    </w:p>
    <w:p w14:paraId="2EC8F58A" w14:textId="77777777" w:rsidR="00C45FE8" w:rsidRPr="00C45FE8" w:rsidRDefault="00C45FE8" w:rsidP="00C45FE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3" w:name="_Hlk97711470"/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9933</w:t>
      </w:r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E806F92" w14:textId="77777777" w:rsidR="00C45FE8" w:rsidRPr="00C45FE8" w:rsidRDefault="00C45FE8" w:rsidP="00C45FE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04515F8" w14:textId="77777777" w:rsidR="00C45FE8" w:rsidRPr="00C45FE8" w:rsidRDefault="00C45FE8" w:rsidP="00C45FE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0568B486" w14:textId="77777777" w:rsidR="00C45FE8" w:rsidRPr="00C45FE8" w:rsidRDefault="00C45FE8" w:rsidP="00C45FE8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45FE8">
        <w:rPr>
          <w:rFonts w:ascii="Arial" w:eastAsia="Times New Roman" w:hAnsi="Arial" w:cs="Times New Roman"/>
          <w:sz w:val="24"/>
          <w:szCs w:val="24"/>
          <w:lang w:eastAsia="pl-PL"/>
        </w:rPr>
        <w:t xml:space="preserve">11 kwietnia 2023 </w:t>
      </w:r>
      <w:r w:rsidRPr="00C45FE8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3"/>
    <w:p w14:paraId="1CE21B99" w14:textId="77777777" w:rsidR="00C45FE8" w:rsidRDefault="00C45FE8" w:rsidP="001626A1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4988C9" w14:textId="77777777" w:rsidR="001626A1" w:rsidRPr="00150881" w:rsidRDefault="001626A1" w:rsidP="001626A1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150881">
        <w:rPr>
          <w:rFonts w:ascii="Arial" w:eastAsia="Times New Roman" w:hAnsi="Arial" w:cs="Arial"/>
          <w:b/>
          <w:color w:val="000000" w:themeColor="text1"/>
          <w:lang w:eastAsia="pl-PL"/>
        </w:rPr>
        <w:t>Umowa nr OZ-I.3</w:t>
      </w:r>
      <w:r w:rsidR="00A720FD" w:rsidRPr="00150881">
        <w:rPr>
          <w:rFonts w:ascii="Arial" w:eastAsia="Times New Roman" w:hAnsi="Arial" w:cs="Arial"/>
          <w:b/>
          <w:color w:val="000000" w:themeColor="text1"/>
          <w:lang w:eastAsia="pl-PL"/>
        </w:rPr>
        <w:t>6</w:t>
      </w:r>
      <w:r w:rsidRPr="00150881">
        <w:rPr>
          <w:rFonts w:ascii="Arial" w:eastAsia="Times New Roman" w:hAnsi="Arial" w:cs="Arial"/>
          <w:b/>
          <w:color w:val="000000" w:themeColor="text1"/>
          <w:lang w:eastAsia="pl-PL"/>
        </w:rPr>
        <w:t>/23</w:t>
      </w:r>
    </w:p>
    <w:p w14:paraId="05115673" w14:textId="77777777" w:rsidR="001626A1" w:rsidRPr="001626A1" w:rsidRDefault="001626A1" w:rsidP="001626A1">
      <w:pPr>
        <w:spacing w:before="240" w:after="0" w:line="260" w:lineRule="atLeast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zawarta w dniu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color w:val="000000"/>
          <w:lang w:eastAsia="pl-PL"/>
        </w:rPr>
        <w:t>202</w:t>
      </w:r>
      <w:r>
        <w:rPr>
          <w:rFonts w:ascii="Arial" w:eastAsia="Times New Roman" w:hAnsi="Arial" w:cs="Arial"/>
          <w:color w:val="000000"/>
          <w:lang w:eastAsia="pl-PL"/>
        </w:rPr>
        <w:t>3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r. w Rzeszowie pomiędzy:</w:t>
      </w:r>
    </w:p>
    <w:p w14:paraId="052E1B93" w14:textId="77777777" w:rsidR="001626A1" w:rsidRPr="001626A1" w:rsidRDefault="001626A1" w:rsidP="001626A1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1626A1">
        <w:rPr>
          <w:rFonts w:ascii="Arial" w:eastAsia="Times New Roman" w:hAnsi="Arial" w:cs="Arial"/>
          <w:lang w:eastAsia="pl-PL"/>
        </w:rPr>
        <w:t>reprezentowanym przez:</w:t>
      </w:r>
    </w:p>
    <w:p w14:paraId="54E486CE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1626A1">
        <w:rPr>
          <w:rFonts w:ascii="Arial" w:eastAsia="Times New Roman" w:hAnsi="Arial" w:cs="Arial"/>
          <w:bCs/>
          <w:lang w:eastAsia="pl-PL"/>
        </w:rPr>
        <w:t>Wicema</w:t>
      </w:r>
      <w:r w:rsidRPr="001626A1">
        <w:rPr>
          <w:rFonts w:ascii="Arial" w:eastAsia="Times New Roman" w:hAnsi="Arial" w:cs="Arial"/>
          <w:lang w:eastAsia="pl-PL"/>
        </w:rPr>
        <w:t>rszałka Województwa Podkarpackiego,</w:t>
      </w:r>
    </w:p>
    <w:p w14:paraId="5E1473B6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1626A1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51A7F604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3395DCAF" w14:textId="77777777" w:rsidR="001626A1" w:rsidRPr="001626A1" w:rsidRDefault="001626A1" w:rsidP="001626A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a Wojewódzką Stacją Pogotowia Ratunkowego w Przemyślu SP ZOZ</w:t>
      </w:r>
    </w:p>
    <w:p w14:paraId="173FE843" w14:textId="77777777" w:rsidR="001626A1" w:rsidRPr="001626A1" w:rsidRDefault="001626A1" w:rsidP="001626A1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09BE1F25" w14:textId="77777777" w:rsidR="001626A1" w:rsidRPr="001626A1" w:rsidRDefault="001626A1" w:rsidP="001626A1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Pana Rafała Kijankę – Dyrektora Stacji</w:t>
      </w:r>
    </w:p>
    <w:p w14:paraId="5DBD88E2" w14:textId="77777777" w:rsidR="001626A1" w:rsidRPr="001626A1" w:rsidRDefault="001626A1" w:rsidP="001626A1">
      <w:pPr>
        <w:spacing w:after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zwanym dalej Dotowanym,</w:t>
      </w:r>
    </w:p>
    <w:p w14:paraId="4B393A04" w14:textId="77777777" w:rsidR="001626A1" w:rsidRPr="001626A1" w:rsidRDefault="001626A1" w:rsidP="001626A1">
      <w:pPr>
        <w:spacing w:after="0" w:line="260" w:lineRule="atLeast"/>
        <w:ind w:hanging="142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</w:t>
      </w:r>
    </w:p>
    <w:p w14:paraId="6D738537" w14:textId="77777777" w:rsidR="001626A1" w:rsidRPr="001626A1" w:rsidRDefault="001626A1" w:rsidP="001626A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Dotujący przyznaje Dotowanemu dotację celową w wysokości: 1</w:t>
      </w:r>
      <w:r w:rsidR="008751B7">
        <w:rPr>
          <w:rFonts w:ascii="Arial" w:eastAsia="Times New Roman" w:hAnsi="Arial" w:cs="Arial"/>
          <w:color w:val="000000"/>
          <w:lang w:eastAsia="pl-PL"/>
        </w:rPr>
        <w:t>50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 000 zł (słownie: sto </w:t>
      </w:r>
      <w:r w:rsidR="00757F0B">
        <w:rPr>
          <w:rFonts w:ascii="Arial" w:eastAsia="Times New Roman" w:hAnsi="Arial" w:cs="Arial"/>
          <w:color w:val="000000"/>
          <w:lang w:eastAsia="pl-PL"/>
        </w:rPr>
        <w:t xml:space="preserve">pięćdziesiąt 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tysięcy </w:t>
      </w:r>
      <w:r w:rsidRPr="001626A1">
        <w:rPr>
          <w:rFonts w:ascii="Arial" w:eastAsia="Times New Roman" w:hAnsi="Arial" w:cs="Arial"/>
          <w:lang w:eastAsia="pl-PL"/>
        </w:rPr>
        <w:t>złotych</w:t>
      </w:r>
      <w:r w:rsidRPr="001626A1">
        <w:rPr>
          <w:rFonts w:ascii="Arial" w:eastAsia="Times New Roman" w:hAnsi="Arial" w:cs="Arial"/>
          <w:color w:val="000000"/>
          <w:lang w:eastAsia="pl-PL"/>
        </w:rPr>
        <w:t>) z przeznaczeniem na zadanie pn.</w:t>
      </w:r>
      <w:r w:rsidR="007051C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1626A1">
        <w:rPr>
          <w:rFonts w:ascii="Arial" w:eastAsia="Times New Roman" w:hAnsi="Arial" w:cs="Arial"/>
          <w:color w:val="000000"/>
          <w:lang w:eastAsia="pl-PL"/>
        </w:rPr>
        <w:t>„Dofinansowanie zakupu</w:t>
      </w:r>
      <w:r w:rsidR="00757F0B">
        <w:rPr>
          <w:rFonts w:ascii="Arial" w:eastAsia="Times New Roman" w:hAnsi="Arial" w:cs="Arial"/>
          <w:color w:val="000000"/>
          <w:lang w:eastAsia="pl-PL"/>
        </w:rPr>
        <w:t xml:space="preserve"> specjalistycznego sprzętu na doposażenie zespoł</w:t>
      </w:r>
      <w:r w:rsidR="008751B7">
        <w:rPr>
          <w:rFonts w:ascii="Arial" w:eastAsia="Times New Roman" w:hAnsi="Arial" w:cs="Arial"/>
          <w:color w:val="000000"/>
          <w:lang w:eastAsia="pl-PL"/>
        </w:rPr>
        <w:t>u</w:t>
      </w:r>
      <w:r w:rsidR="00757F0B">
        <w:rPr>
          <w:rFonts w:ascii="Arial" w:eastAsia="Times New Roman" w:hAnsi="Arial" w:cs="Arial"/>
          <w:color w:val="000000"/>
          <w:lang w:eastAsia="pl-PL"/>
        </w:rPr>
        <w:t xml:space="preserve"> ratownictwa medycznego</w:t>
      </w:r>
      <w:r w:rsidR="008751B7">
        <w:rPr>
          <w:rFonts w:ascii="Arial" w:eastAsia="Times New Roman" w:hAnsi="Arial" w:cs="Arial"/>
          <w:color w:val="000000"/>
          <w:lang w:eastAsia="pl-PL"/>
        </w:rPr>
        <w:t xml:space="preserve"> w Wojewódzkiej Stacji Pogotowia Ratunkowego w Przemyślu SP ZOZ</w:t>
      </w:r>
      <w:r w:rsidRPr="001626A1">
        <w:rPr>
          <w:rFonts w:ascii="Arial" w:eastAsia="Times New Roman" w:hAnsi="Arial" w:cs="Arial"/>
          <w:color w:val="000000"/>
          <w:lang w:eastAsia="pl-PL"/>
        </w:rPr>
        <w:t>” .</w:t>
      </w:r>
    </w:p>
    <w:p w14:paraId="03CA800D" w14:textId="77777777" w:rsidR="001626A1" w:rsidRPr="001626A1" w:rsidRDefault="001626A1" w:rsidP="001626A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Finansowanie zadania odbywać się będzie: w dziale 851 - ochrona zdrowia, rozdział 85141 – ratownictwo medyczne, § 6220  dotacje celowe z budżetu na finansowanie lub dofinansowanie kosztów realizacji inwestycji  i zakupów inwestycyjnych innych jednostek sektora finansów publicznych. Środki pochodzą z budżetu państwa.</w:t>
      </w:r>
    </w:p>
    <w:p w14:paraId="0A9F29F3" w14:textId="77777777" w:rsidR="001626A1" w:rsidRPr="001626A1" w:rsidRDefault="001626A1" w:rsidP="001626A1">
      <w:pPr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Zakres rzeczowy zadania obejmuje </w:t>
      </w:r>
      <w:r w:rsidRPr="001626A1">
        <w:rPr>
          <w:rFonts w:ascii="Arial" w:eastAsia="Times New Roman" w:hAnsi="Arial" w:cs="Arial"/>
          <w:lang w:eastAsia="pl-PL"/>
        </w:rPr>
        <w:t>zakup:</w:t>
      </w:r>
    </w:p>
    <w:p w14:paraId="1718FDBC" w14:textId="77777777" w:rsidR="001626A1" w:rsidRPr="001626A1" w:rsidRDefault="001626A1" w:rsidP="001626A1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Agregaty prądotwórcze – </w:t>
      </w:r>
      <w:r w:rsidR="006A2B75">
        <w:rPr>
          <w:rFonts w:ascii="Arial" w:eastAsia="Times New Roman" w:hAnsi="Arial" w:cs="Arial"/>
          <w:color w:val="000000"/>
          <w:lang w:eastAsia="pl-PL"/>
        </w:rPr>
        <w:t>1 </w:t>
      </w:r>
      <w:r w:rsidRPr="001626A1">
        <w:rPr>
          <w:rFonts w:ascii="Arial" w:eastAsia="Times New Roman" w:hAnsi="Arial" w:cs="Arial"/>
          <w:color w:val="000000"/>
          <w:lang w:eastAsia="pl-PL"/>
        </w:rPr>
        <w:t>szt.,</w:t>
      </w:r>
    </w:p>
    <w:p w14:paraId="34CAE073" w14:textId="77777777" w:rsidR="001626A1" w:rsidRPr="001626A1" w:rsidRDefault="001626A1" w:rsidP="001626A1">
      <w:pPr>
        <w:numPr>
          <w:ilvl w:val="0"/>
          <w:numId w:val="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Aparat</w:t>
      </w:r>
      <w:r w:rsidR="006A2B75">
        <w:rPr>
          <w:rFonts w:ascii="Arial" w:eastAsia="Times New Roman" w:hAnsi="Arial" w:cs="Arial"/>
          <w:color w:val="000000"/>
          <w:lang w:eastAsia="pl-PL"/>
        </w:rPr>
        <w:t>y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USG Fast – </w:t>
      </w:r>
      <w:r w:rsidR="006A2B75">
        <w:rPr>
          <w:rFonts w:ascii="Arial" w:eastAsia="Times New Roman" w:hAnsi="Arial" w:cs="Arial"/>
          <w:color w:val="000000"/>
          <w:lang w:eastAsia="pl-PL"/>
        </w:rPr>
        <w:t>2</w:t>
      </w:r>
      <w:r w:rsidRPr="001626A1">
        <w:rPr>
          <w:rFonts w:ascii="Arial" w:eastAsia="Times New Roman" w:hAnsi="Arial" w:cs="Arial"/>
          <w:color w:val="000000"/>
          <w:lang w:eastAsia="pl-PL"/>
        </w:rPr>
        <w:t> szt.</w:t>
      </w:r>
    </w:p>
    <w:p w14:paraId="66117CBC" w14:textId="77777777" w:rsidR="001626A1" w:rsidRPr="001626A1" w:rsidRDefault="001626A1" w:rsidP="001626A1">
      <w:pPr>
        <w:spacing w:before="240" w:after="0" w:line="260" w:lineRule="atLeast"/>
        <w:ind w:left="284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2</w:t>
      </w:r>
    </w:p>
    <w:p w14:paraId="47EB13C9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Wysokość przyznanej kwoty dotacji została ustalona zgodnie z art. 114 ustawy z dnia 15 kwietnia 2011 r. o działalności leczniczej (Dz. U. z 2022 r.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poz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 .633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zm.).Całkowity planowany koszt realizacji zadania wyniesie: 1</w:t>
      </w:r>
      <w:r w:rsidR="006A2B75">
        <w:rPr>
          <w:rFonts w:ascii="Arial" w:eastAsia="Times New Roman" w:hAnsi="Arial" w:cs="Arial"/>
          <w:color w:val="000000"/>
          <w:lang w:eastAsia="pl-PL"/>
        </w:rPr>
        <w:t>74 32</w:t>
      </w:r>
      <w:r w:rsidRPr="001626A1">
        <w:rPr>
          <w:rFonts w:ascii="Arial" w:eastAsia="Times New Roman" w:hAnsi="Arial" w:cs="Arial"/>
          <w:color w:val="000000"/>
          <w:lang w:eastAsia="pl-PL"/>
        </w:rPr>
        <w:t>0 zł.</w:t>
      </w:r>
    </w:p>
    <w:p w14:paraId="2062D78B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Zadanie będzie realizowane z wykorzystaniem środków z budżetu państwa. Wysokość dofinansowania z budżetu państwa  wyniesie nie więcej niż 1</w:t>
      </w:r>
      <w:r w:rsidR="006A2B75">
        <w:rPr>
          <w:rFonts w:ascii="Arial" w:eastAsia="Times New Roman" w:hAnsi="Arial" w:cs="Arial"/>
          <w:color w:val="000000"/>
          <w:lang w:eastAsia="pl-PL"/>
        </w:rPr>
        <w:t>5</w:t>
      </w:r>
      <w:r w:rsidRPr="001626A1">
        <w:rPr>
          <w:rFonts w:ascii="Arial" w:eastAsia="Times New Roman" w:hAnsi="Arial" w:cs="Arial"/>
          <w:color w:val="000000"/>
          <w:lang w:eastAsia="pl-PL"/>
        </w:rPr>
        <w:t>0 000 zł.</w:t>
      </w:r>
    </w:p>
    <w:p w14:paraId="0AF3BAF4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Dotowany zobowiązuje się pokryć ze środków własnych pozostałe wydatki w ramach realizowanego zadania.</w:t>
      </w:r>
    </w:p>
    <w:p w14:paraId="4357D2BF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Naliczone przez Dotowanego kary umowne z tytułu nieterminowego lub nienależytego wykonania umowy lub z innego tytułu przewidzianego w umowie pomniejszą kwotę należnej dotacji.</w:t>
      </w:r>
    </w:p>
    <w:p w14:paraId="1B3CB464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 przypadku zwiększenia całkowitego kosztu realizacji zadania, o którym mowa w ust. 2  kwota dotacji nie ulega zmianie, a Dotowany zobowiązuje się pokryć zwiększone wydatki ze środków własnych lub innych źródeł.</w:t>
      </w:r>
    </w:p>
    <w:p w14:paraId="02E1335A" w14:textId="77777777" w:rsidR="001626A1" w:rsidRPr="001626A1" w:rsidRDefault="001626A1" w:rsidP="001626A1">
      <w:pPr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Dotowany zobowiązuje się do wykonania zadania w terminie </w:t>
      </w:r>
      <w:r w:rsidRPr="001626A1">
        <w:rPr>
          <w:rFonts w:ascii="Arial" w:eastAsia="Times New Roman" w:hAnsi="Arial" w:cs="Arial"/>
          <w:lang w:eastAsia="pl-PL"/>
        </w:rPr>
        <w:t xml:space="preserve">do dnia </w:t>
      </w:r>
      <w:r w:rsidR="00836F2B">
        <w:rPr>
          <w:rFonts w:ascii="Arial" w:eastAsia="Times New Roman" w:hAnsi="Arial" w:cs="Arial"/>
          <w:lang w:eastAsia="pl-PL"/>
        </w:rPr>
        <w:t>31</w:t>
      </w:r>
      <w:r w:rsidRPr="001626A1">
        <w:rPr>
          <w:rFonts w:ascii="Arial" w:eastAsia="Times New Roman" w:hAnsi="Arial" w:cs="Arial"/>
          <w:lang w:eastAsia="pl-PL"/>
        </w:rPr>
        <w:t>.1</w:t>
      </w:r>
      <w:r w:rsidR="00836F2B">
        <w:rPr>
          <w:rFonts w:ascii="Arial" w:eastAsia="Times New Roman" w:hAnsi="Arial" w:cs="Arial"/>
          <w:lang w:eastAsia="pl-PL"/>
        </w:rPr>
        <w:t>0</w:t>
      </w:r>
      <w:r w:rsidRPr="001626A1">
        <w:rPr>
          <w:rFonts w:ascii="Arial" w:eastAsia="Times New Roman" w:hAnsi="Arial" w:cs="Arial"/>
          <w:lang w:eastAsia="pl-PL"/>
        </w:rPr>
        <w:t>.202</w:t>
      </w:r>
      <w:r w:rsidR="006A2B75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</w:t>
      </w:r>
    </w:p>
    <w:p w14:paraId="147BC111" w14:textId="77777777" w:rsidR="001626A1" w:rsidRPr="001626A1" w:rsidRDefault="001626A1" w:rsidP="007051C6">
      <w:pPr>
        <w:spacing w:before="240"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</w:rPr>
        <w:lastRenderedPageBreak/>
        <w:t>§ 3</w:t>
      </w:r>
    </w:p>
    <w:p w14:paraId="6AAA5396" w14:textId="77777777" w:rsidR="001626A1" w:rsidRPr="001626A1" w:rsidRDefault="001626A1" w:rsidP="001626A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umową. Dotowany nie może wykorzystać otrzymanej dotacji na cele inne niż określone w § 1.</w:t>
      </w:r>
    </w:p>
    <w:p w14:paraId="23558AFE" w14:textId="77777777" w:rsidR="001626A1" w:rsidRPr="001626A1" w:rsidRDefault="001626A1" w:rsidP="001626A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1626A1">
        <w:rPr>
          <w:rFonts w:ascii="Arial" w:eastAsia="Times New Roman" w:hAnsi="Arial" w:cs="Arial"/>
          <w:bCs/>
          <w:lang w:eastAsia="pl-PL"/>
        </w:rPr>
        <w:t xml:space="preserve">w </w:t>
      </w:r>
      <w:r w:rsidRPr="001626A1">
        <w:rPr>
          <w:rFonts w:ascii="Arial" w:eastAsia="Times New Roman" w:hAnsi="Arial" w:cs="Arial"/>
          <w:lang w:eastAsia="pl-PL"/>
        </w:rPr>
        <w:t>Banku BGK O/Rzeszów</w:t>
      </w:r>
      <w:r w:rsidRPr="001626A1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1626A1">
        <w:rPr>
          <w:rFonts w:ascii="Times New Roman" w:eastAsia="Times New Roman" w:hAnsi="Times New Roman" w:cs="Times New Roman"/>
          <w:sz w:val="24"/>
          <w:szCs w:val="24"/>
          <w:lang w:eastAsia="pl-PL"/>
        </w:rPr>
        <w:t>nr 49</w:t>
      </w:r>
      <w:r w:rsidRPr="001626A1">
        <w:rPr>
          <w:rFonts w:ascii="Arial" w:eastAsia="Times New Roman" w:hAnsi="Arial" w:cs="Arial"/>
          <w:bCs/>
          <w:lang w:eastAsia="pl-PL"/>
        </w:rPr>
        <w:t xml:space="preserve"> 1130 1105 0005 2471 6520 0001 </w:t>
      </w:r>
      <w:r w:rsidRPr="001626A1">
        <w:rPr>
          <w:rFonts w:ascii="Arial" w:eastAsia="Times New Roman" w:hAnsi="Arial" w:cs="Arial"/>
          <w:lang w:eastAsia="pl-PL"/>
        </w:rPr>
        <w:t xml:space="preserve">na podstawie składanych wniosków o płatność wraz z załączonymi kserokopiami faktur dotyczących realizacji zadania, o którym mowa  w § 1, w terminie 2 dni od daty otrzymania wniosku o ich uruchomienie. Wniosek o przekazanie ostatniej transzy przyznanej dotacji winien być przedłożony najpóźniej w terminie do </w:t>
      </w:r>
      <w:r w:rsidR="00180B06">
        <w:rPr>
          <w:rFonts w:ascii="Arial" w:eastAsia="Times New Roman" w:hAnsi="Arial" w:cs="Arial"/>
          <w:lang w:eastAsia="pl-PL"/>
        </w:rPr>
        <w:t>20 października 2</w:t>
      </w:r>
      <w:r w:rsidRPr="001626A1">
        <w:rPr>
          <w:rFonts w:ascii="Arial" w:eastAsia="Times New Roman" w:hAnsi="Arial" w:cs="Arial"/>
          <w:lang w:eastAsia="pl-PL"/>
        </w:rPr>
        <w:t>02</w:t>
      </w:r>
      <w:r w:rsidR="006A2B75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</w:t>
      </w:r>
    </w:p>
    <w:p w14:paraId="23C20286" w14:textId="77777777" w:rsidR="001626A1" w:rsidRPr="001626A1" w:rsidRDefault="001626A1" w:rsidP="001626A1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Wykorzystanie dotacji powinno nastąpić niezwłocznie po otrzymaniu środków z budżetu Województwa, nie później niż do </w:t>
      </w:r>
      <w:r w:rsidR="00D363C7"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grudnia 202</w:t>
      </w:r>
      <w:r w:rsidR="006A2B75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Przez wykorzystanie dotacji rozumie się zapłatę za zrealizowane zadanie, na które dotacja została udzielona.</w:t>
      </w:r>
    </w:p>
    <w:p w14:paraId="64E796C2" w14:textId="77777777" w:rsidR="001626A1" w:rsidRPr="001626A1" w:rsidRDefault="001626A1" w:rsidP="001626A1">
      <w:pPr>
        <w:spacing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4</w:t>
      </w:r>
    </w:p>
    <w:p w14:paraId="238F86A4" w14:textId="77777777" w:rsidR="001626A1" w:rsidRPr="001626A1" w:rsidRDefault="001626A1" w:rsidP="001626A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Dotowany jest 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Dotowany jest zobowiązany do przedstawienia Dotującemu w dwóch egzemplarzach rozliczenia z wykorzystania dotacji w terminie do 30 dni po zakończeniu zadania, jednak nie później niż do </w:t>
      </w:r>
      <w:r w:rsidR="00D363C7">
        <w:rPr>
          <w:rFonts w:ascii="Arial" w:eastAsia="Times New Roman" w:hAnsi="Arial" w:cs="Arial"/>
          <w:color w:val="000000"/>
          <w:lang w:eastAsia="pl-PL"/>
        </w:rPr>
        <w:t>29</w:t>
      </w:r>
      <w:r w:rsidRPr="001626A1">
        <w:rPr>
          <w:rFonts w:ascii="Arial" w:eastAsia="Times New Roman" w:hAnsi="Arial" w:cs="Arial"/>
          <w:color w:val="000000"/>
          <w:lang w:eastAsia="pl-PL"/>
        </w:rPr>
        <w:t>.12.202</w:t>
      </w:r>
      <w:r w:rsidR="006A2B75">
        <w:rPr>
          <w:rFonts w:ascii="Arial" w:eastAsia="Times New Roman" w:hAnsi="Arial" w:cs="Arial"/>
          <w:color w:val="000000"/>
          <w:lang w:eastAsia="pl-PL"/>
        </w:rPr>
        <w:t>3</w:t>
      </w:r>
      <w:r w:rsidRPr="001626A1">
        <w:rPr>
          <w:rFonts w:ascii="Arial" w:eastAsia="Times New Roman" w:hAnsi="Arial" w:cs="Arial"/>
          <w:color w:val="000000"/>
          <w:lang w:eastAsia="pl-PL"/>
        </w:rPr>
        <w:t xml:space="preserve"> r. Do rozliczenia należy dołączyć uwierzytelnione kserokopie faktur zatwierdzonych do zapłaty oraz uwierzytelnione kserokopie poleceń przelewów środków potwierdzających dokonanie zapłaty wymienionych faktur.</w:t>
      </w:r>
    </w:p>
    <w:p w14:paraId="542D0636" w14:textId="77777777" w:rsidR="001626A1" w:rsidRPr="001626A1" w:rsidRDefault="001626A1" w:rsidP="001626A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Rozliczeniu podlegają nakłady poniesione przez Dotowanego w okresie od dnia </w:t>
      </w:r>
      <w:r w:rsidR="006A2B75">
        <w:rPr>
          <w:rFonts w:ascii="Arial" w:eastAsia="Times New Roman" w:hAnsi="Arial" w:cs="Arial"/>
          <w:color w:val="000000"/>
          <w:lang w:eastAsia="pl-PL"/>
        </w:rPr>
        <w:t xml:space="preserve">zawarcia umowy </w:t>
      </w:r>
      <w:r w:rsidRPr="001626A1">
        <w:rPr>
          <w:rFonts w:ascii="Arial" w:eastAsia="Times New Roman" w:hAnsi="Arial" w:cs="Arial"/>
          <w:lang w:eastAsia="pl-PL"/>
        </w:rPr>
        <w:t xml:space="preserve">do dnia </w:t>
      </w:r>
      <w:r w:rsidR="00D363C7">
        <w:rPr>
          <w:rFonts w:ascii="Arial" w:eastAsia="Times New Roman" w:hAnsi="Arial" w:cs="Arial"/>
          <w:lang w:eastAsia="pl-PL"/>
        </w:rPr>
        <w:t>31.10</w:t>
      </w:r>
      <w:r w:rsidRPr="001626A1">
        <w:rPr>
          <w:rFonts w:ascii="Arial" w:eastAsia="Times New Roman" w:hAnsi="Arial" w:cs="Arial"/>
          <w:lang w:eastAsia="pl-PL"/>
        </w:rPr>
        <w:t>.202</w:t>
      </w:r>
      <w:r w:rsidR="006A2B75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 </w:t>
      </w:r>
    </w:p>
    <w:p w14:paraId="5E542E24" w14:textId="77777777" w:rsidR="001626A1" w:rsidRPr="001626A1" w:rsidRDefault="001626A1" w:rsidP="001626A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Dotujący ma prawo żądać, aby dotowany w wyznaczonym terminie przedstawił dodatkowe informacje i wyjaśnienia do rozliczenia, o którym mowa w ust. 1.</w:t>
      </w:r>
    </w:p>
    <w:p w14:paraId="5E7B03D4" w14:textId="77777777" w:rsidR="001626A1" w:rsidRPr="001626A1" w:rsidRDefault="001626A1" w:rsidP="006A2B75">
      <w:pPr>
        <w:numPr>
          <w:ilvl w:val="0"/>
          <w:numId w:val="14"/>
        </w:numPr>
        <w:spacing w:before="24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 z odsetkami w wysokości, jak od zaległości podatkowych, liczonymi od dnia przekazania środków do dnia ich zwrotu.</w:t>
      </w:r>
    </w:p>
    <w:p w14:paraId="304EB34F" w14:textId="77777777" w:rsidR="001626A1" w:rsidRPr="001626A1" w:rsidRDefault="001626A1" w:rsidP="006A2B75">
      <w:pPr>
        <w:spacing w:before="240" w:line="276" w:lineRule="auto"/>
        <w:ind w:left="720"/>
        <w:contextualSpacing/>
        <w:jc w:val="center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§ 5</w:t>
      </w:r>
    </w:p>
    <w:p w14:paraId="5641A8A0" w14:textId="77777777" w:rsidR="001626A1" w:rsidRPr="001626A1" w:rsidRDefault="001626A1" w:rsidP="001626A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Dotację niewykorzystaną do dnia </w:t>
      </w:r>
      <w:r w:rsidR="006A2B75"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grudnia 202</w:t>
      </w:r>
      <w:r w:rsidR="006A2B75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r. Dotowany jest zobowiązany zwrócić w terminie do dnia </w:t>
      </w:r>
      <w:r w:rsidR="006A2B75"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grudnia 2022 r. na rachunek bankowy Urzędu Marszałkowskiego Województwa Podkarpackiego 29 1090 2750 0000 0001 4752 0735.</w:t>
      </w:r>
    </w:p>
    <w:p w14:paraId="2FEEF48B" w14:textId="77777777" w:rsidR="001626A1" w:rsidRPr="001626A1" w:rsidRDefault="001626A1" w:rsidP="001626A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</w:t>
      </w:r>
    </w:p>
    <w:p w14:paraId="7D2839FB" w14:textId="77777777" w:rsidR="001626A1" w:rsidRPr="001626A1" w:rsidRDefault="001626A1" w:rsidP="001626A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Udzielona dotacja wykorzystana niezgodnie z przeznaczeniem, pobrana nienależnie lub w nadmiernej wysokości podlega zwrotowi wraz z odsetkami w wysokości określonej jak dla zaległości podatkowych w ciągu 15 dni od dnia stwierdzenia tych okoliczności.</w:t>
      </w:r>
    </w:p>
    <w:p w14:paraId="0B4548F3" w14:textId="77777777" w:rsidR="001626A1" w:rsidRPr="001626A1" w:rsidRDefault="001626A1" w:rsidP="001626A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Zwrotowi podlega ta część dotacji, która została wykorzystana niezgodnie z przeznaczeniem, nienależnie udzielona lub pobrana w nadmiernej wysokości. </w:t>
      </w:r>
    </w:p>
    <w:p w14:paraId="7C0C4201" w14:textId="77777777" w:rsidR="001626A1" w:rsidRPr="001626A1" w:rsidRDefault="001626A1" w:rsidP="001626A1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Odsetki od dotacji podlegających zwrotowi na podst. ust. 3 i 4 nalicza się począwszy od dnia:</w:t>
      </w:r>
    </w:p>
    <w:p w14:paraId="7D4D153F" w14:textId="77777777" w:rsidR="001626A1" w:rsidRPr="001626A1" w:rsidRDefault="001626A1" w:rsidP="001626A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lastRenderedPageBreak/>
        <w:t>przekazania dotacji wykorzystanej niezgodnie z przeznaczeniem,</w:t>
      </w:r>
    </w:p>
    <w:p w14:paraId="11351FE1" w14:textId="77777777" w:rsidR="001626A1" w:rsidRPr="001626A1" w:rsidRDefault="001626A1" w:rsidP="001626A1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następującego po upływie terminu zwrotu określonego w ust. 3 w odniesieniu do dotacji pobranej nienależnie lub w nadmiernej wysokości.</w:t>
      </w:r>
    </w:p>
    <w:p w14:paraId="3E14B64F" w14:textId="77777777" w:rsidR="001626A1" w:rsidRPr="001626A1" w:rsidRDefault="001626A1" w:rsidP="001626A1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6</w:t>
      </w:r>
    </w:p>
    <w:p w14:paraId="3BA2B7B0" w14:textId="77777777" w:rsidR="001626A1" w:rsidRPr="001626A1" w:rsidRDefault="001626A1" w:rsidP="001626A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 xml:space="preserve">W terminie do </w:t>
      </w:r>
      <w:r w:rsidR="000820D8">
        <w:rPr>
          <w:rFonts w:ascii="Arial" w:eastAsia="Times New Roman" w:hAnsi="Arial" w:cs="Arial"/>
          <w:lang w:eastAsia="pl-PL"/>
        </w:rPr>
        <w:t>29</w:t>
      </w:r>
      <w:r w:rsidRPr="001626A1">
        <w:rPr>
          <w:rFonts w:ascii="Arial" w:eastAsia="Times New Roman" w:hAnsi="Arial" w:cs="Arial"/>
          <w:lang w:eastAsia="pl-PL"/>
        </w:rPr>
        <w:t xml:space="preserve"> stycznia 202</w:t>
      </w:r>
      <w:r w:rsidR="000820D8">
        <w:rPr>
          <w:rFonts w:ascii="Arial" w:eastAsia="Times New Roman" w:hAnsi="Arial" w:cs="Arial"/>
          <w:lang w:eastAsia="pl-PL"/>
        </w:rPr>
        <w:t>3</w:t>
      </w:r>
      <w:r w:rsidRPr="001626A1">
        <w:rPr>
          <w:rFonts w:ascii="Arial" w:eastAsia="Times New Roman" w:hAnsi="Arial" w:cs="Arial"/>
          <w:lang w:eastAsia="pl-PL"/>
        </w:rPr>
        <w:t xml:space="preserve">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</w:t>
      </w:r>
      <w:r w:rsidR="000820D8">
        <w:rPr>
          <w:rFonts w:ascii="Arial" w:eastAsia="Times New Roman" w:hAnsi="Arial" w:cs="Arial"/>
          <w:lang w:eastAsia="pl-PL"/>
        </w:rPr>
        <w:t>2</w:t>
      </w:r>
      <w:r w:rsidRPr="001626A1">
        <w:rPr>
          <w:rFonts w:ascii="Arial" w:eastAsia="Times New Roman" w:hAnsi="Arial" w:cs="Arial"/>
          <w:lang w:eastAsia="pl-PL"/>
        </w:rPr>
        <w:t xml:space="preserve"> r.).</w:t>
      </w:r>
    </w:p>
    <w:p w14:paraId="6C6D9D3F" w14:textId="77777777" w:rsidR="001626A1" w:rsidRPr="001626A1" w:rsidRDefault="001626A1" w:rsidP="001626A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>W przypadku, gdy współczynnik określający wysokość, w jakiej realizacja zadania służy udzielaniu świadczeń opieki zdrowotnej finansowanych ze środków publicznych w rozumieniu ustawy z dnia 27 sierpnia 2004 r. o świadczeniach opieki zdrowotnej finansowanych ze środków publicznych, w roku realizacji zadania jest mniejszy od współczynnika określonego w § 2 ust. 5, Dotowany zobowiązany jest dokonać zwrotu części otrzymanej dotacji, w wysokości ustalonej zgodnie z Art. 116 ust. 3 ustawy z dnia 15 kwietnia 2011r. o działalności leczniczej.</w:t>
      </w:r>
    </w:p>
    <w:p w14:paraId="44367093" w14:textId="77777777" w:rsidR="001626A1" w:rsidRPr="001626A1" w:rsidRDefault="001626A1" w:rsidP="001626A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Zwrotu dotacji, o którym mowa w ust. 2 należy dokonać na rachunek Urzędu Marszałkowskiego Województwa Podkarpackiego nr 83 1090 2750 0000 0001 4752 0733 w terminie do dnia </w:t>
      </w:r>
      <w:r w:rsidR="000820D8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 stycznia 202</w:t>
      </w:r>
      <w:r w:rsidR="000820D8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1626A1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</w:p>
    <w:p w14:paraId="77898673" w14:textId="77777777" w:rsidR="001626A1" w:rsidRPr="001626A1" w:rsidRDefault="001626A1" w:rsidP="001626A1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sz w:val="24"/>
          <w:szCs w:val="24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71F7DBD1" w14:textId="77777777" w:rsidR="001626A1" w:rsidRPr="001626A1" w:rsidRDefault="001626A1" w:rsidP="001626A1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 xml:space="preserve">§ 7 </w:t>
      </w:r>
    </w:p>
    <w:p w14:paraId="4CB8CC73" w14:textId="77777777" w:rsidR="001626A1" w:rsidRPr="001626A1" w:rsidRDefault="001626A1" w:rsidP="001626A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6888246D" w14:textId="77777777" w:rsidR="001626A1" w:rsidRPr="001626A1" w:rsidRDefault="001626A1" w:rsidP="001626A1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Dotującemu w ramach kontroli wykonywania umowy przysługuje uprawnienie badania w każdym czasie dokumentów i innych nośników informacji, które mają lub mogą mieć znaczenie dla oceny prawidłowości wykonywania zadania oraz Dotujący może żądać w każdym czasie udzielania ustnie lub na piśmie informacji dotyczących wykonywania zadania. Dotowany na żądanie Dotującego jest zobowiązany dostarczyć lub udostępnić dokumenty i inne nośniki informacji oraz udzielić wyjaśnień i informacji w  terminie określonym przez Dotującego.</w:t>
      </w:r>
    </w:p>
    <w:p w14:paraId="49EA62D5" w14:textId="77777777" w:rsidR="000820D8" w:rsidRPr="007051C6" w:rsidRDefault="001626A1" w:rsidP="007051C6">
      <w:pPr>
        <w:numPr>
          <w:ilvl w:val="0"/>
          <w:numId w:val="9"/>
        </w:numPr>
        <w:spacing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Prawo kontroli przysługuje upoważnianym pracownikom Dotującego zarówno, w siedzibie Dotowanego, jak też w miejscu realizacji zadania.</w:t>
      </w:r>
    </w:p>
    <w:p w14:paraId="3FDE5B2C" w14:textId="77777777" w:rsidR="00A720FD" w:rsidRDefault="00A720FD" w:rsidP="00150881">
      <w:pPr>
        <w:spacing w:line="36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505C8000" w14:textId="77777777" w:rsidR="001626A1" w:rsidRPr="001626A1" w:rsidRDefault="001626A1" w:rsidP="00150881">
      <w:pPr>
        <w:spacing w:line="36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§ 8</w:t>
      </w:r>
    </w:p>
    <w:p w14:paraId="07A751C0" w14:textId="77777777" w:rsidR="001626A1" w:rsidRPr="001626A1" w:rsidRDefault="001626A1" w:rsidP="000820D8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38F7ECBF" w14:textId="77777777" w:rsidR="001626A1" w:rsidRPr="00E94CD9" w:rsidRDefault="001626A1" w:rsidP="001626A1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1A42257E" w14:textId="77777777" w:rsidR="001626A1" w:rsidRPr="001626A1" w:rsidRDefault="001626A1" w:rsidP="001626A1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lastRenderedPageBreak/>
        <w:t>§ 9</w:t>
      </w:r>
    </w:p>
    <w:p w14:paraId="76A51EE6" w14:textId="77777777" w:rsidR="001626A1" w:rsidRPr="001626A1" w:rsidRDefault="001626A1" w:rsidP="001626A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379F4C60" w14:textId="77777777" w:rsidR="001626A1" w:rsidRPr="001626A1" w:rsidRDefault="001626A1" w:rsidP="001626A1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626A1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7541CB39" w14:textId="77777777" w:rsidR="001626A1" w:rsidRPr="001626A1" w:rsidRDefault="001626A1" w:rsidP="001626A1">
      <w:pPr>
        <w:spacing w:before="240" w:after="0" w:line="276" w:lineRule="auto"/>
        <w:jc w:val="center"/>
        <w:rPr>
          <w:rFonts w:ascii="Arial" w:eastAsia="Times New Roman" w:hAnsi="Arial" w:cs="Arial"/>
        </w:rPr>
      </w:pPr>
      <w:r w:rsidRPr="001626A1">
        <w:rPr>
          <w:rFonts w:ascii="Arial" w:eastAsia="Times New Roman" w:hAnsi="Arial" w:cs="Arial"/>
        </w:rPr>
        <w:t>§ 10</w:t>
      </w:r>
    </w:p>
    <w:p w14:paraId="781E4D6E" w14:textId="77777777" w:rsidR="001626A1" w:rsidRPr="001626A1" w:rsidRDefault="001626A1" w:rsidP="001626A1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Wszelkie zmiany umowy wymagają zachowania formy pisemnej pod rygorem nieważności.</w:t>
      </w:r>
    </w:p>
    <w:p w14:paraId="3D8D5B63" w14:textId="77777777" w:rsidR="001626A1" w:rsidRPr="001626A1" w:rsidRDefault="001626A1" w:rsidP="001626A1">
      <w:pPr>
        <w:numPr>
          <w:ilvl w:val="0"/>
          <w:numId w:val="12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Ewentualne spory związane z realizacją niniejszej umowy będą rozstrzygane przez właściwy rzeczowo sąd powszechny w Rzeszowie.</w:t>
      </w:r>
    </w:p>
    <w:p w14:paraId="72F7CA7D" w14:textId="77777777" w:rsidR="001626A1" w:rsidRPr="001626A1" w:rsidRDefault="001626A1" w:rsidP="001626A1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11</w:t>
      </w:r>
    </w:p>
    <w:p w14:paraId="27202256" w14:textId="77777777" w:rsidR="001626A1" w:rsidRPr="001626A1" w:rsidRDefault="001626A1" w:rsidP="001626A1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. zm.).</w:t>
      </w:r>
    </w:p>
    <w:p w14:paraId="16D1F9B6" w14:textId="77777777" w:rsidR="001626A1" w:rsidRPr="001626A1" w:rsidRDefault="001626A1" w:rsidP="001626A1">
      <w:pPr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 xml:space="preserve">W sprawach nieuregulowanych w umowie zastosowanie mieć będą przepisy ustawy  dnia 27 sierpnia 2009 r. o finansach publicznych (Dz. U. z  2022 r. poz. 1634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zm.) oraz ustawy z dnia 15 kwietnia 2011 r. o działalności leczniczej (Dz.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U.z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 2022 r. poz. 633 z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1626A1">
        <w:rPr>
          <w:rFonts w:ascii="Arial" w:eastAsia="Times New Roman" w:hAnsi="Arial" w:cs="Arial"/>
          <w:color w:val="000000"/>
          <w:lang w:eastAsia="pl-PL"/>
        </w:rPr>
        <w:t>zm</w:t>
      </w:r>
      <w:proofErr w:type="spellEnd"/>
      <w:r w:rsidRPr="001626A1">
        <w:rPr>
          <w:rFonts w:ascii="Arial" w:eastAsia="Times New Roman" w:hAnsi="Arial" w:cs="Arial"/>
          <w:color w:val="000000"/>
          <w:lang w:eastAsia="pl-PL"/>
        </w:rPr>
        <w:t>).</w:t>
      </w:r>
    </w:p>
    <w:p w14:paraId="10658500" w14:textId="77777777" w:rsidR="001626A1" w:rsidRPr="001626A1" w:rsidRDefault="001626A1" w:rsidP="001626A1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12</w:t>
      </w:r>
    </w:p>
    <w:p w14:paraId="21AC0839" w14:textId="77777777" w:rsidR="001626A1" w:rsidRPr="001626A1" w:rsidRDefault="001626A1" w:rsidP="001626A1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Prawa i obowiązki wynikające z niniejszej umowy nie mogą być przenoszone na osoby trzecie.</w:t>
      </w:r>
    </w:p>
    <w:p w14:paraId="5FC44786" w14:textId="77777777" w:rsidR="001626A1" w:rsidRPr="001626A1" w:rsidRDefault="001626A1" w:rsidP="001626A1">
      <w:pPr>
        <w:spacing w:before="240" w:after="0" w:line="260" w:lineRule="atLeast"/>
        <w:jc w:val="center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§ 13</w:t>
      </w:r>
    </w:p>
    <w:p w14:paraId="07F8D133" w14:textId="77777777" w:rsidR="001626A1" w:rsidRPr="001626A1" w:rsidRDefault="001626A1" w:rsidP="001626A1">
      <w:pPr>
        <w:spacing w:after="0" w:line="26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color w:val="000000"/>
          <w:lang w:eastAsia="pl-PL"/>
        </w:rPr>
        <w:t>Umowę niniejszą sporządzono w dwóch jednobrzmiących egzemplarzach, po jednym dla każdej ze stron.</w:t>
      </w:r>
    </w:p>
    <w:p w14:paraId="6F7E4C1E" w14:textId="77777777" w:rsidR="001626A1" w:rsidRPr="001626A1" w:rsidRDefault="001626A1" w:rsidP="001626A1">
      <w:pPr>
        <w:spacing w:before="240" w:after="0" w:line="240" w:lineRule="atLeast"/>
        <w:ind w:left="426"/>
        <w:rPr>
          <w:rFonts w:ascii="Arial" w:eastAsia="Times New Roman" w:hAnsi="Arial" w:cs="Arial"/>
          <w:color w:val="000000"/>
          <w:lang w:eastAsia="pl-PL"/>
        </w:rPr>
      </w:pP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>DOTUJĄCY</w:t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1626A1">
        <w:rPr>
          <w:rFonts w:ascii="Arial" w:eastAsia="Times New Roman" w:hAnsi="Arial" w:cs="Arial"/>
          <w:b/>
          <w:bCs/>
          <w:color w:val="000000"/>
          <w:lang w:eastAsia="pl-PL"/>
        </w:rPr>
        <w:tab/>
        <w:t> DOTOWANY</w:t>
      </w:r>
    </w:p>
    <w:p w14:paraId="5B3B1CBF" w14:textId="0A3AB9DE" w:rsidR="001626A1" w:rsidRPr="001626A1" w:rsidRDefault="001626A1" w:rsidP="001626A1">
      <w:pPr>
        <w:rPr>
          <w:rFonts w:ascii="Arial" w:eastAsia="Times New Roman" w:hAnsi="Arial" w:cs="Arial"/>
          <w:b/>
          <w:bCs/>
          <w:color w:val="000000"/>
          <w:lang w:eastAsia="pl-PL"/>
        </w:rPr>
      </w:pPr>
    </w:p>
    <w:bookmarkEnd w:id="1"/>
    <w:sectPr w:rsidR="001626A1" w:rsidRPr="001626A1" w:rsidSect="0027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B5F"/>
    <w:multiLevelType w:val="hybridMultilevel"/>
    <w:tmpl w:val="1E96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72B3"/>
    <w:multiLevelType w:val="hybridMultilevel"/>
    <w:tmpl w:val="C2C6D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CF1265"/>
    <w:multiLevelType w:val="hybridMultilevel"/>
    <w:tmpl w:val="D65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 w15:restartNumberingAfterBreak="0">
    <w:nsid w:val="252A6E01"/>
    <w:multiLevelType w:val="hybridMultilevel"/>
    <w:tmpl w:val="CC52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A52F0"/>
    <w:multiLevelType w:val="hybridMultilevel"/>
    <w:tmpl w:val="EC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43591"/>
    <w:multiLevelType w:val="hybridMultilevel"/>
    <w:tmpl w:val="73FE6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3037"/>
    <w:multiLevelType w:val="hybridMultilevel"/>
    <w:tmpl w:val="EECCB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33134"/>
    <w:multiLevelType w:val="hybridMultilevel"/>
    <w:tmpl w:val="C7D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140C3"/>
    <w:multiLevelType w:val="hybridMultilevel"/>
    <w:tmpl w:val="814A9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113D2"/>
    <w:multiLevelType w:val="hybridMultilevel"/>
    <w:tmpl w:val="2CE2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6CB7"/>
    <w:multiLevelType w:val="hybridMultilevel"/>
    <w:tmpl w:val="D2F20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C0750"/>
    <w:multiLevelType w:val="hybridMultilevel"/>
    <w:tmpl w:val="7428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1103"/>
    <w:multiLevelType w:val="hybridMultilevel"/>
    <w:tmpl w:val="C89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1558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3607234">
    <w:abstractNumId w:val="9"/>
  </w:num>
  <w:num w:numId="3" w16cid:durableId="945422626">
    <w:abstractNumId w:val="7"/>
  </w:num>
  <w:num w:numId="4" w16cid:durableId="574706836">
    <w:abstractNumId w:val="4"/>
  </w:num>
  <w:num w:numId="5" w16cid:durableId="1283655318">
    <w:abstractNumId w:val="1"/>
  </w:num>
  <w:num w:numId="6" w16cid:durableId="707755120">
    <w:abstractNumId w:val="10"/>
  </w:num>
  <w:num w:numId="7" w16cid:durableId="1614049079">
    <w:abstractNumId w:val="12"/>
  </w:num>
  <w:num w:numId="8" w16cid:durableId="518281496">
    <w:abstractNumId w:val="6"/>
  </w:num>
  <w:num w:numId="9" w16cid:durableId="693577635">
    <w:abstractNumId w:val="8"/>
  </w:num>
  <w:num w:numId="10" w16cid:durableId="538130187">
    <w:abstractNumId w:val="0"/>
  </w:num>
  <w:num w:numId="11" w16cid:durableId="984316758">
    <w:abstractNumId w:val="5"/>
  </w:num>
  <w:num w:numId="12" w16cid:durableId="1283150812">
    <w:abstractNumId w:val="2"/>
  </w:num>
  <w:num w:numId="13" w16cid:durableId="563758191">
    <w:abstractNumId w:val="13"/>
  </w:num>
  <w:num w:numId="14" w16cid:durableId="18064602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A1"/>
    <w:rsid w:val="000820D8"/>
    <w:rsid w:val="00150881"/>
    <w:rsid w:val="001626A1"/>
    <w:rsid w:val="00180B06"/>
    <w:rsid w:val="002455EA"/>
    <w:rsid w:val="00350964"/>
    <w:rsid w:val="004B69DC"/>
    <w:rsid w:val="006A2B75"/>
    <w:rsid w:val="007051C6"/>
    <w:rsid w:val="00757F0B"/>
    <w:rsid w:val="00836F2B"/>
    <w:rsid w:val="00854BC8"/>
    <w:rsid w:val="008751B7"/>
    <w:rsid w:val="008D7FC6"/>
    <w:rsid w:val="00957258"/>
    <w:rsid w:val="009E23F8"/>
    <w:rsid w:val="009E2DA7"/>
    <w:rsid w:val="009E53A1"/>
    <w:rsid w:val="00A32394"/>
    <w:rsid w:val="00A720FD"/>
    <w:rsid w:val="00BB38DB"/>
    <w:rsid w:val="00BF4132"/>
    <w:rsid w:val="00C45FE8"/>
    <w:rsid w:val="00D363C7"/>
    <w:rsid w:val="00D564DC"/>
    <w:rsid w:val="00E4685C"/>
    <w:rsid w:val="00E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E700"/>
  <w15:chartTrackingRefBased/>
  <w15:docId w15:val="{0BAA8EE3-6368-4FDE-86DC-B478667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5</Pages>
  <Words>1513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478_9933_23</dc:title>
  <dc:subject/>
  <dc:creator>Stopyra - Barowicz Aneta</dc:creator>
  <cp:keywords/>
  <dc:description/>
  <cp:lastModifiedBy>.</cp:lastModifiedBy>
  <cp:revision>14</cp:revision>
  <cp:lastPrinted>2023-03-27T05:47:00Z</cp:lastPrinted>
  <dcterms:created xsi:type="dcterms:W3CDTF">2023-02-17T09:22:00Z</dcterms:created>
  <dcterms:modified xsi:type="dcterms:W3CDTF">2023-04-17T08:43:00Z</dcterms:modified>
</cp:coreProperties>
</file>