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DE25" w14:textId="4659212F" w:rsidR="001A5EC8" w:rsidRPr="001A5EC8" w:rsidRDefault="007F240B" w:rsidP="001A5EC8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49044235"/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40</w:t>
      </w:r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A1D9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11309</w:t>
      </w:r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F2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F2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listopada </w:t>
      </w:r>
      <w:r w:rsidRPr="007F2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1A5EC8"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6E77031C" w14:textId="77777777" w:rsidR="001A5EC8" w:rsidRPr="001A5EC8" w:rsidRDefault="001A5EC8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1A5EC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Ponadlokalnego </w:t>
      </w:r>
      <w:bookmarkStart w:id="1" w:name="_Hlk118879145"/>
      <w:r w:rsidRPr="001A5EC8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Związku Gmin Turystycznych Pogórza Dynowskiego na lata 2022-2030</w:t>
      </w:r>
    </w:p>
    <w:bookmarkEnd w:id="1"/>
    <w:p w14:paraId="66BF48EC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3" w:name="_Hlk97803401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4" w:name="_Hlk117140884"/>
      <w:bookmarkEnd w:id="3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zm.) </w:t>
      </w:r>
      <w:bookmarkEnd w:id="2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 ze zm.)</w:t>
      </w:r>
    </w:p>
    <w:p w14:paraId="535D7A66" w14:textId="77777777" w:rsidR="001A5EC8" w:rsidRPr="001A5EC8" w:rsidRDefault="001A5EC8" w:rsidP="001A5E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42D6DC7" w14:textId="77777777" w:rsidR="001A5EC8" w:rsidRPr="001A5EC8" w:rsidRDefault="001A5EC8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1DD93327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308C1A10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Związku Gmin Turystycznych Pogórza Dynowskiego na lata 2022-2030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09D0A8D0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24E8F49A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17FC84E6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4D8333EF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3D6C437F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7D6639A6" w14:textId="77777777" w:rsidR="001A5EC8" w:rsidRPr="001A5EC8" w:rsidRDefault="001A5EC8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1A5EC8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53FBCB89" w14:textId="77777777" w:rsidR="001A5EC8" w:rsidRDefault="001A5EC8" w:rsidP="00633D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096742F" w14:textId="77777777" w:rsidR="00633D27" w:rsidRPr="00AB7352" w:rsidRDefault="00633D27" w:rsidP="00633D27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AB735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6F41367" w14:textId="77777777" w:rsidR="00633D27" w:rsidRPr="00AB7352" w:rsidRDefault="00633D27" w:rsidP="00633D27">
      <w:pPr>
        <w:spacing w:after="0"/>
        <w:rPr>
          <w:rFonts w:ascii="Arial" w:eastAsiaTheme="minorEastAsia" w:hAnsi="Arial" w:cs="Arial"/>
        </w:rPr>
      </w:pPr>
      <w:r w:rsidRPr="00AB735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08838565" w14:textId="77777777" w:rsidR="00633D27" w:rsidRDefault="00633D27" w:rsidP="00633D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6D6739" w14:textId="77777777" w:rsidR="00633D27" w:rsidRDefault="00633D27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BE7F54" w14:textId="77777777" w:rsidR="00633D27" w:rsidRPr="001A5EC8" w:rsidRDefault="00633D27" w:rsidP="00633D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  <w:sectPr w:rsidR="00633D27" w:rsidRPr="001A5EC8" w:rsidSect="00113C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72A9D1" w14:textId="6BBEB032" w:rsidR="007F240B" w:rsidRPr="007F240B" w:rsidRDefault="007F240B" w:rsidP="007F240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40</w:t>
      </w: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A1D9A">
        <w:rPr>
          <w:rFonts w:ascii="Arial" w:eastAsia="Times New Roman" w:hAnsi="Arial" w:cs="Arial"/>
          <w:bCs/>
          <w:sz w:val="24"/>
          <w:szCs w:val="24"/>
          <w:lang w:eastAsia="pl-PL"/>
        </w:rPr>
        <w:t>11309</w:t>
      </w: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7E9ACDD" w14:textId="77777777" w:rsidR="007F240B" w:rsidRPr="007F240B" w:rsidRDefault="007F240B" w:rsidP="007F240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A997087" w14:textId="77777777" w:rsidR="007F240B" w:rsidRPr="007F240B" w:rsidRDefault="007F240B" w:rsidP="007F240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B7EC780" w14:textId="500EC84E" w:rsidR="007F240B" w:rsidRDefault="007F240B" w:rsidP="007F240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 listopada </w:t>
      </w:r>
      <w:r w:rsidRPr="007F240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7F240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A455C37" w14:textId="77777777" w:rsidR="00AA1D9A" w:rsidRPr="007F240B" w:rsidRDefault="00AA1D9A" w:rsidP="007F240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7"/>
    <w:p w14:paraId="716F5A2D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1A5EC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57E36503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1A5EC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Dz. U. z 2023 r. poz. 40 ze zm., dalej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8" w:name="_Hlk98835338"/>
      <w:bookmarkStart w:id="9" w:name="_Hlk97803195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projekt strategii rozwoju ponadlokalnego opracowuje odpowiednio wójt albo starosta wskazany w porozumieniu międzygminnym, organ wykonawczy związku międzygminnego albo stowarzyszenia oraz przedkłada go zarządowi województwa w celu wydania opinii dotyczącej sposobu uwzględnienia ustaleń i rekomendacji w zakresie kształtowania i prowadzenia polityki przestrzennej w województwie określonych w strategii rozwoju województwa.</w:t>
      </w:r>
    </w:p>
    <w:p w14:paraId="49A6F6E3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255A314B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10" w:name="_Hlk118885537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12 października 2023 r. do Urzędu Marszałkowskiego Województwa Podkarpackiego wpłynął wniosek z dnia 12 października 2023 r., Pana Zygmunta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Frańczak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Prezesa Zarządu Związku Gmin Turystycznych Pogórza Dynowskiego o zaopiniowanie w myśl art. 10g ust. 5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projektu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Związku Gmin Turystycznych Pogórza Dynowskiego na lata 2022-2030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(SRP).</w:t>
      </w:r>
    </w:p>
    <w:bookmarkEnd w:id="8"/>
    <w:bookmarkEnd w:id="9"/>
    <w:bookmarkEnd w:id="10"/>
    <w:p w14:paraId="1021C106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Związek Gmin Turystycznych Pogórza Dynowskiego tworzą: Miasto i Gmina Dubiecko, Gmina Dynów, Gmina Nozdrzec, Gmina Krzywcza, Gmina Dydnia, Gmina Błażowa, Gmina Hyżne, Gmina Jawornik Polski oraz Miasto Dynów.</w:t>
      </w:r>
    </w:p>
    <w:p w14:paraId="79F6AE2F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sz w:val="24"/>
          <w:szCs w:val="24"/>
          <w:lang w:eastAsia="pl-PL"/>
        </w:rPr>
        <w:t>Przeprowadzona analiza wykazała, że zakres przedstawionego projektu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Strategii Rozwoju Ponadlokalnego Związku Gmin Turystycznych Pogórza Dynowskiego na lata 2022-2030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mieści się w horyzoncie czasowym przyjętym w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także cele operacyjne wraz z wymienionymi w ich ramach kierunkami działań wpisują się w zapisy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 sposób bezpośredni lub pośredni m.in. w niżej wymienione obszary tematyczne i priorytety.</w:t>
      </w:r>
    </w:p>
    <w:p w14:paraId="07854B52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A74136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7D85D6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TEMATYCZNY 1. GOSPODARKA I NAUKA</w:t>
      </w:r>
    </w:p>
    <w:p w14:paraId="60845F0C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513F3663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 6.1, 6.2 SRP.</w:t>
      </w:r>
    </w:p>
    <w:p w14:paraId="01164471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E4C59AC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62190548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1.7, 1.10 SRP.</w:t>
      </w:r>
    </w:p>
    <w:p w14:paraId="74EC92BD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32C658F8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1.6 SRP.</w:t>
      </w:r>
    </w:p>
    <w:p w14:paraId="7E4FE2C1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59BAFCF3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24152391"/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1.11, 2.4, 4.1 SRP.</w:t>
      </w:r>
    </w:p>
    <w:p w14:paraId="7586D369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2.4. Rynek pracy</w:t>
      </w:r>
    </w:p>
    <w:p w14:paraId="50695AE1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1.1, 1.8 SRP.</w:t>
      </w:r>
    </w:p>
    <w:bookmarkEnd w:id="11"/>
    <w:p w14:paraId="74D04DC4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764444D9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6.2 SRP.</w:t>
      </w:r>
    </w:p>
    <w:p w14:paraId="3412215C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2.6. Włączenie społeczne</w:t>
      </w:r>
    </w:p>
    <w:p w14:paraId="369688E2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1.2, 1.8, 1.9, 1.12 SRP.</w:t>
      </w:r>
    </w:p>
    <w:p w14:paraId="480E245C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6195CA97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1.11 SRP.</w:t>
      </w:r>
    </w:p>
    <w:p w14:paraId="4A89F5A5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29A19F46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3867FC39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1.3, 2.1, 5.1 SRP.</w:t>
      </w:r>
    </w:p>
    <w:p w14:paraId="0843EE9A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3.2. Rozwój infrastruktury transportowej oraz integracji międzygałęziowej transportu</w:t>
      </w:r>
    </w:p>
    <w:p w14:paraId="31253FE5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1.5 SRP.</w:t>
      </w:r>
    </w:p>
    <w:p w14:paraId="7D1105A3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11122911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1.5, 2.3 SRP.</w:t>
      </w:r>
    </w:p>
    <w:p w14:paraId="00BE258E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9B36ACA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2.6 SRP.</w:t>
      </w:r>
    </w:p>
    <w:p w14:paraId="131495B0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17BF38CD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Hlk117161701"/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1.11, 2.4, 6.3 SRP.</w:t>
      </w:r>
    </w:p>
    <w:p w14:paraId="1DF2C09E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</w:t>
      </w:r>
    </w:p>
    <w:p w14:paraId="04D428B5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lastRenderedPageBreak/>
        <w:t>W Priorytet wpisuje się kierunek działania 1.4 SRP.</w:t>
      </w:r>
    </w:p>
    <w:bookmarkEnd w:id="12"/>
    <w:p w14:paraId="5A2A6588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2785F653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2.2 SRP.</w:t>
      </w:r>
    </w:p>
    <w:p w14:paraId="59479D20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B63BFB3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5.2 SRP.</w:t>
      </w:r>
    </w:p>
    <w:p w14:paraId="2CBDFF29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t xml:space="preserve">OBSZAR TEMATYCZNY 4. </w:t>
      </w:r>
      <w:r w:rsidRPr="001A5EC8">
        <w:rPr>
          <w:rFonts w:ascii="Arial" w:hAnsi="Arial" w:cs="Arial"/>
          <w:b/>
          <w:bCs/>
          <w:color w:val="000000" w:themeColor="text1"/>
          <w:sz w:val="24"/>
          <w:szCs w:val="24"/>
        </w:rPr>
        <w:t>DOSTĘPNOŚĆ USŁUG</w:t>
      </w:r>
    </w:p>
    <w:p w14:paraId="0FF2862A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6611AA8F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wpisują się kierunki działań: 1.12, 1,13, 2.1, 3.1, 3.2 SRP.</w:t>
      </w:r>
    </w:p>
    <w:p w14:paraId="4EC91DB8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1485F9A8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2.5 SRP.</w:t>
      </w:r>
    </w:p>
    <w:p w14:paraId="72C76564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6689927B" w14:textId="77777777" w:rsidR="001A5EC8" w:rsidRPr="001A5EC8" w:rsidRDefault="001A5EC8" w:rsidP="001A5EC8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W Priorytet wpisuje się kierunek działania 6.2 SRP.</w:t>
      </w:r>
    </w:p>
    <w:p w14:paraId="46C55AEA" w14:textId="77777777" w:rsidR="001A5EC8" w:rsidRPr="001A5EC8" w:rsidRDefault="001A5EC8" w:rsidP="001A5EC8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1C3DA1DF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037799D8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7.2. Funkcje metropolitalne Rzeszowa oraz jego obszaru funkcjonalnego</w:t>
      </w:r>
    </w:p>
    <w:p w14:paraId="1E559EEE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55BED16C" w14:textId="77777777" w:rsidR="001A5EC8" w:rsidRPr="001A5EC8" w:rsidRDefault="001A5EC8" w:rsidP="001A5EC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14750895" w14:textId="77777777" w:rsidR="001A5EC8" w:rsidRDefault="001A5EC8" w:rsidP="001A5EC8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>
        <w:rPr>
          <w:rFonts w:ascii="Arial" w:eastAsia="Times New Roman" w:hAnsi="Arial" w:cs="Arial"/>
          <w:sz w:val="24"/>
          <w:szCs w:val="24"/>
          <w:lang w:eastAsia="ar-SA"/>
        </w:rPr>
        <w:t>SRP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Zgodnie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przywołaną regulacją, strategia rozwoju gminy powinna zawierać, m.in.: wnioski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diagnozy, cele strategiczne rozwoju w wymiarze społecznym, gospodarczym i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system realizacji strategii, w tym wytyczne do sporządzania dokumentów wykonawczych oraz ramy finansowe i źródła finansowania. </w:t>
      </w:r>
    </w:p>
    <w:p w14:paraId="68D708A1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dokumentu wykazała pewne braki. </w:t>
      </w:r>
    </w:p>
    <w:p w14:paraId="1C72F3CA" w14:textId="77777777" w:rsidR="001A5EC8" w:rsidRPr="001A5EC8" w:rsidRDefault="001A5EC8" w:rsidP="00715106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Przedstawiony model struktury funkcjonalno-przestrzennej należy uzupełnić o </w:t>
      </w:r>
      <w:r w:rsidR="0071510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strukturę sieci osadniczej.</w:t>
      </w:r>
    </w:p>
    <w:p w14:paraId="00FF440F" w14:textId="77777777" w:rsidR="00692BC8" w:rsidRDefault="00692BC8" w:rsidP="00692BC8">
      <w:pPr>
        <w:spacing w:before="240"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92B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Przeprowadzona analiza wykazała niepełne przypisanie gmin do regionalnych obszarów strategicznej interwencji (OSI). Przedłożony projekt SRP przedstawia następujące obszary strategicznej interwencji: Priorytet 7.2. Funkcje metropolitalne Rzeszowa 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raz jego obszaru funkcjonalnego; </w:t>
      </w:r>
      <w:r w:rsidRPr="00692B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 7.3. Obszary wymagające szczególnego wsparcia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kontekście równoważenia rozwoju oraz </w:t>
      </w:r>
      <w:r w:rsidRPr="00692B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7.4. Obszary wiejskie – wysoka jakość przestrzeni do zamieszkania, pracy i wypoczynku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BE2A55A" w14:textId="77777777" w:rsidR="00692BC8" w:rsidRDefault="00692BC8" w:rsidP="00692B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92B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Właściwa identyfikacja OSI na poziomie województwa dla Związku Gmin Turystycznych Pogórza Dynowskiego powinna dodatkowo wskazywać priorytet 7.1 Wykorzystanie policentrycznego miejskiego układu osadniczego oraz kierunki nw. działań wraz z planowanymi w ich ramach zakładanymi działaniami:</w:t>
      </w:r>
    </w:p>
    <w:p w14:paraId="20EE467D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7.1.1. Wzmocnienie roli biegunów wzrostu w świadczeniu usług publicznych oraz usług wyższego rzędu, a w szczególności wzmacnianie potencjałów wyróżniających je w skali krajowej;</w:t>
      </w:r>
    </w:p>
    <w:p w14:paraId="7012F1B7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7.1.2. Rozwój potencjału gospodarczego miast, ze szczególnym uwzględnieniem biegunów wzrostu wraz z rozprzestrzenianiem trendów rozwojowych na otaczające je obszary funkcjonalne oraz wiejskie;</w:t>
      </w:r>
    </w:p>
    <w:p w14:paraId="21CFDE30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7.1.3. Rozwój powiązań komunikacyjnych wewnątrz obszarów funkcjonalnych biegunów wzrostu;</w:t>
      </w:r>
    </w:p>
    <w:p w14:paraId="3E8B8FB6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7.1.4. Rozwój miast powiatowych i miast mniejszych.</w:t>
      </w:r>
    </w:p>
    <w:p w14:paraId="0B14FC68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Ponadto, w dokumencie SRP nie zawarto ram finansowych, wskazano jedynie potencjalne źródła finansowania. Działania określone w strategii rozwoju muszą być poparte możliwościami ich realizacji, w kontekście zapewnienia ich finansowania. W ramach dokumentu należy wskazać wielkości środków finansowych zaplanowanych na realizację strategii wraz z potencjalnymi źródłami finansowymi.</w:t>
      </w:r>
    </w:p>
    <w:p w14:paraId="3F23D99A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 ww. elementów wpłynął na wydanie opinii przez Zarząd Województwa Podkarpackiego.</w:t>
      </w:r>
    </w:p>
    <w:p w14:paraId="5D5FCF25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na podstawie art. 41 ust. 1 ustawy z dnia 5 czerwca 1998 r. o samorządzie województwa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10g ust. 5 i 6 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negatywnie zaopiniować projekt </w:t>
      </w:r>
      <w:r w:rsidRPr="001A5EC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Strategii Rozwoju Ponadlokalnego Związku Gmin Turystycznych Pogórza Dynowskiego na lata 2022-2030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 rekomendacji dotyczących kształtowania i prowadzenia polityki przestrzennej w województwie określonych w Strategii rozwoju województwa – Podkarpackie 2030.</w:t>
      </w:r>
    </w:p>
    <w:p w14:paraId="3F9AB55A" w14:textId="77777777" w:rsidR="001A5EC8" w:rsidRPr="001A5EC8" w:rsidRDefault="001A5EC8" w:rsidP="001A5EC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związku z powyższym, należy uzupełnić projekt o wskazane elementy, a następnie ponownie przedłożyć projekt SRP do opiniowania przez Zarząd Województwa Podkarpackiego.</w:t>
      </w:r>
    </w:p>
    <w:p w14:paraId="2D2C21A7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93F584B" w14:textId="77777777" w:rsidR="001A5EC8" w:rsidRPr="001A5EC8" w:rsidRDefault="001A5EC8" w:rsidP="001A5EC8"/>
    <w:sectPr w:rsidR="001A5EC8" w:rsidRPr="001A5EC8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40FD" w14:textId="77777777" w:rsidR="003256A3" w:rsidRDefault="00C471D2">
      <w:pPr>
        <w:spacing w:after="0" w:line="240" w:lineRule="auto"/>
      </w:pPr>
      <w:r>
        <w:separator/>
      </w:r>
    </w:p>
  </w:endnote>
  <w:endnote w:type="continuationSeparator" w:id="0">
    <w:p w14:paraId="49B2D2A2" w14:textId="77777777" w:rsidR="003256A3" w:rsidRDefault="00C4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9594" w14:textId="77777777" w:rsidR="007F240B" w:rsidRDefault="007F240B">
    <w:pPr>
      <w:pStyle w:val="Stopka"/>
      <w:jc w:val="right"/>
    </w:pPr>
  </w:p>
  <w:p w14:paraId="48150F21" w14:textId="77777777" w:rsidR="007F240B" w:rsidRDefault="007F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AC99" w14:textId="77777777" w:rsidR="003256A3" w:rsidRDefault="00C471D2">
      <w:pPr>
        <w:spacing w:after="0" w:line="240" w:lineRule="auto"/>
      </w:pPr>
      <w:r>
        <w:separator/>
      </w:r>
    </w:p>
  </w:footnote>
  <w:footnote w:type="continuationSeparator" w:id="0">
    <w:p w14:paraId="1F91CAFA" w14:textId="77777777" w:rsidR="003256A3" w:rsidRDefault="00C4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C8"/>
    <w:rsid w:val="001A5EC8"/>
    <w:rsid w:val="00275D91"/>
    <w:rsid w:val="003256A3"/>
    <w:rsid w:val="004A573C"/>
    <w:rsid w:val="00507FE8"/>
    <w:rsid w:val="00633D27"/>
    <w:rsid w:val="00692BC8"/>
    <w:rsid w:val="00715106"/>
    <w:rsid w:val="007F240B"/>
    <w:rsid w:val="00AA1D9A"/>
    <w:rsid w:val="00C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8A8"/>
  <w15:chartTrackingRefBased/>
  <w15:docId w15:val="{81C9A9D3-FBA5-4FC0-9874-F16C09E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5E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8C6D-E7A1-48CC-811F-78B95F4D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540_11309_23</dc:title>
  <dc:subject/>
  <dc:creator>Surmacz Paulina</dc:creator>
  <cp:keywords/>
  <dc:description/>
  <cp:lastModifiedBy>.</cp:lastModifiedBy>
  <cp:revision>5</cp:revision>
  <cp:lastPrinted>2023-11-07T10:01:00Z</cp:lastPrinted>
  <dcterms:created xsi:type="dcterms:W3CDTF">2023-11-03T10:41:00Z</dcterms:created>
  <dcterms:modified xsi:type="dcterms:W3CDTF">2023-11-10T08:34:00Z</dcterms:modified>
</cp:coreProperties>
</file>