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7254" w14:textId="77777777" w:rsidR="00AD7EB6" w:rsidRPr="00AD7EB6" w:rsidRDefault="00AD7EB6" w:rsidP="00AD7EB6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AD7EB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449/ </w:t>
      </w:r>
      <w:r w:rsidR="00D25FC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9309</w:t>
      </w:r>
      <w:r w:rsidRPr="00AD7EB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7C41AA3F" w14:textId="77777777" w:rsidR="00AD7EB6" w:rsidRPr="00AD7EB6" w:rsidRDefault="00AD7EB6" w:rsidP="00AD7EB6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AD7EB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7E2D39C1" w14:textId="77777777" w:rsidR="00AD7EB6" w:rsidRPr="00AD7EB6" w:rsidRDefault="00AD7EB6" w:rsidP="00AD7EB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D7EB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280D9F85" w14:textId="77777777" w:rsidR="00AD7EB6" w:rsidRDefault="00AD7EB6" w:rsidP="00AD7EB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D7EB6">
        <w:rPr>
          <w:rFonts w:ascii="Arial" w:eastAsia="Times New Roman" w:hAnsi="Arial" w:cs="Times New Roman"/>
          <w:sz w:val="24"/>
          <w:szCs w:val="24"/>
          <w:lang w:eastAsia="pl-PL"/>
        </w:rPr>
        <w:t>z dnia 4 stycznia  2023 r.</w:t>
      </w:r>
      <w:bookmarkEnd w:id="0"/>
    </w:p>
    <w:p w14:paraId="2DAD7547" w14:textId="77777777" w:rsidR="00AD7EB6" w:rsidRPr="00AD7EB6" w:rsidRDefault="00AD7EB6" w:rsidP="00AD7EB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7278F4F7" w14:textId="77777777" w:rsidR="000A4116" w:rsidRPr="000A4116" w:rsidRDefault="000A4116" w:rsidP="000A4116">
      <w:pPr>
        <w:spacing w:after="240" w:line="276" w:lineRule="auto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0A411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w sprawie zaopiniowania </w:t>
      </w:r>
      <w:r w:rsidRPr="000A4116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Projektu Strategii Rozwoju Gminy </w:t>
      </w:r>
      <w:r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Tyczyn</w:t>
      </w:r>
      <w:r w:rsidRPr="000A4116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Pr="000A4116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br/>
      </w:r>
      <w:r w:rsidR="009D4115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na lata </w:t>
      </w:r>
      <w:r w:rsidRPr="000A4116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2022-2030</w:t>
      </w:r>
    </w:p>
    <w:p w14:paraId="255A8F35" w14:textId="77777777" w:rsidR="000A4116" w:rsidRPr="000A4116" w:rsidRDefault="000A4116" w:rsidP="000A4116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A411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art. 41 ust. 1 ustawy z dnia 5 czerwca 1998 r. </w:t>
      </w:r>
      <w:r w:rsidRPr="000A411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 samorządzie województwa</w:t>
      </w:r>
      <w:r w:rsidRPr="000A411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1" w:name="_Hlk100137707"/>
      <w:r w:rsidRPr="000A411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proofErr w:type="spellStart"/>
      <w:r w:rsidRPr="000A411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0A411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bookmarkStart w:id="2" w:name="_Hlk97803401"/>
      <w:r w:rsidRPr="000A411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Dz. U. z 2022 r. poz. </w:t>
      </w:r>
      <w:bookmarkStart w:id="3" w:name="_Hlk117140884"/>
      <w:bookmarkEnd w:id="2"/>
      <w:r w:rsidRPr="000A411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2094</w:t>
      </w:r>
      <w:bookmarkEnd w:id="3"/>
      <w:r w:rsidRPr="000A411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</w:t>
      </w:r>
      <w:bookmarkEnd w:id="1"/>
      <w:r w:rsidRPr="000A411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związku z art. 10f ust. 2 i 3 ustawy z dnia 8 marca 1990 r. </w:t>
      </w:r>
      <w:r w:rsidRPr="000A411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 samorządzie gminnym</w:t>
      </w:r>
      <w:r w:rsidRPr="000A411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</w:t>
      </w:r>
      <w:proofErr w:type="spellStart"/>
      <w:r w:rsidRPr="000A411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0A411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Dz. U. z 2022 r. poz. 559 ze zm.)</w:t>
      </w:r>
    </w:p>
    <w:p w14:paraId="1E34B840" w14:textId="77777777" w:rsidR="000A4116" w:rsidRPr="000A4116" w:rsidRDefault="000A4116" w:rsidP="000A4116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0A411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Zarząd Województwa Podkarpackiego w Rzeszowie</w:t>
      </w:r>
    </w:p>
    <w:p w14:paraId="678D3A7A" w14:textId="77777777" w:rsidR="000A4116" w:rsidRPr="000A4116" w:rsidRDefault="000A4116" w:rsidP="000A4116">
      <w:pPr>
        <w:spacing w:after="24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0A411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uchwala, co następuje:</w:t>
      </w:r>
    </w:p>
    <w:p w14:paraId="3009423F" w14:textId="77777777" w:rsidR="000A4116" w:rsidRPr="000A4116" w:rsidRDefault="000A4116" w:rsidP="000A4116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</w:pPr>
      <w:bookmarkStart w:id="4" w:name="_Hlk45790122"/>
      <w:r w:rsidRPr="000A4116"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  <w:t>§ 1</w:t>
      </w:r>
    </w:p>
    <w:bookmarkEnd w:id="4"/>
    <w:p w14:paraId="6E3F4240" w14:textId="77777777" w:rsidR="000A4116" w:rsidRPr="000A4116" w:rsidRDefault="000A4116" w:rsidP="000A4116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0A4116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Wydaje się opinię do </w:t>
      </w:r>
      <w:r w:rsidRPr="000A411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Projektu</w:t>
      </w:r>
      <w:r w:rsidRPr="000A4116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Pr="000A411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Strategii Rozwoju Gminy 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Tyczyn</w:t>
      </w:r>
      <w:r w:rsidRPr="000A411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 </w:t>
      </w:r>
      <w:r w:rsidR="009D411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na lata </w:t>
      </w:r>
      <w:r w:rsidRPr="000A411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2022-2030 </w:t>
      </w:r>
      <w:r w:rsidRPr="000A4116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w zakresie sposobu uwzględnienia ustaleń i rekomendacji dotyczących kształtowania i prowadzenia polityki przestrzennej w województwie określonych w </w:t>
      </w:r>
      <w:r w:rsidRPr="000A411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Strategii rozwoju województwa – Podkarpackie 2030</w:t>
      </w:r>
      <w:r w:rsidRPr="000A4116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.</w:t>
      </w:r>
    </w:p>
    <w:p w14:paraId="0BDD8983" w14:textId="77777777" w:rsidR="000A4116" w:rsidRPr="000A4116" w:rsidRDefault="000A4116" w:rsidP="000A4116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</w:rPr>
      </w:pPr>
      <w:r w:rsidRPr="000A4116">
        <w:rPr>
          <w:rFonts w:ascii="Arial" w:eastAsia="Times New Roman" w:hAnsi="Arial" w:cstheme="majorBidi"/>
          <w:color w:val="000000" w:themeColor="text1"/>
          <w:sz w:val="24"/>
          <w:szCs w:val="26"/>
        </w:rPr>
        <w:t>§ 2</w:t>
      </w:r>
    </w:p>
    <w:p w14:paraId="4CF12E98" w14:textId="77777777" w:rsidR="000A4116" w:rsidRPr="000A4116" w:rsidRDefault="000A4116" w:rsidP="000A4116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0A4116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Opinia stanowi załącznik do niniejszej Uchwały.</w:t>
      </w:r>
    </w:p>
    <w:p w14:paraId="5B956C69" w14:textId="77777777" w:rsidR="000A4116" w:rsidRPr="000A4116" w:rsidRDefault="000A4116" w:rsidP="000A4116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</w:rPr>
      </w:pPr>
      <w:r w:rsidRPr="000A4116">
        <w:rPr>
          <w:rFonts w:ascii="Arial" w:eastAsia="Times New Roman" w:hAnsi="Arial" w:cstheme="majorBidi"/>
          <w:color w:val="000000" w:themeColor="text1"/>
          <w:sz w:val="24"/>
          <w:szCs w:val="26"/>
        </w:rPr>
        <w:t>§ 3</w:t>
      </w:r>
    </w:p>
    <w:p w14:paraId="0E6CE744" w14:textId="77777777" w:rsidR="000A4116" w:rsidRPr="000A4116" w:rsidRDefault="000A4116" w:rsidP="000A4116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0A4116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Wykonanie uchwały powierza się Dyrektorowi Departamentu Rozwoju Regionalnego.</w:t>
      </w:r>
    </w:p>
    <w:p w14:paraId="02F0DD7F" w14:textId="77777777" w:rsidR="000A4116" w:rsidRPr="000A4116" w:rsidRDefault="000A4116" w:rsidP="000A4116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</w:pPr>
      <w:r w:rsidRPr="000A4116"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  <w:t>§ 4</w:t>
      </w:r>
    </w:p>
    <w:p w14:paraId="6D6DF0AE" w14:textId="77777777" w:rsidR="000A4116" w:rsidRPr="000A4116" w:rsidRDefault="000A4116" w:rsidP="000A4116">
      <w:pPr>
        <w:spacing w:after="120" w:line="276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val="x-none" w:eastAsia="pl-PL"/>
        </w:rPr>
      </w:pPr>
      <w:r w:rsidRPr="000A4116">
        <w:rPr>
          <w:rFonts w:ascii="Arial" w:eastAsia="Times New Roman" w:hAnsi="Arial" w:cs="Times New Roman"/>
          <w:color w:val="000000" w:themeColor="text1"/>
          <w:sz w:val="24"/>
          <w:szCs w:val="24"/>
          <w:lang w:val="x-none" w:eastAsia="pl-PL"/>
        </w:rPr>
        <w:t>Uchwała wchodzi w życie z dniem podjęcia.</w:t>
      </w:r>
    </w:p>
    <w:p w14:paraId="57B32F17" w14:textId="77777777" w:rsidR="00DF448C" w:rsidRPr="00C22964" w:rsidRDefault="00DF448C" w:rsidP="00DF448C">
      <w:pPr>
        <w:spacing w:after="0"/>
        <w:rPr>
          <w:rFonts w:ascii="Arial" w:eastAsia="Calibri" w:hAnsi="Arial" w:cs="Arial"/>
          <w:sz w:val="23"/>
          <w:szCs w:val="23"/>
        </w:rPr>
      </w:pPr>
      <w:r w:rsidRPr="00C2296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0227D18" w14:textId="77777777" w:rsidR="00DF448C" w:rsidRPr="00C22964" w:rsidRDefault="00DF448C" w:rsidP="00DF448C">
      <w:pPr>
        <w:spacing w:after="0"/>
        <w:rPr>
          <w:rFonts w:ascii="Arial" w:eastAsiaTheme="minorEastAsia" w:hAnsi="Arial" w:cs="Arial"/>
        </w:rPr>
      </w:pPr>
      <w:r w:rsidRPr="00C2296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4171170E" w14:textId="77777777" w:rsidR="00DF448C" w:rsidRDefault="00DF448C" w:rsidP="00DF448C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</w:pPr>
    </w:p>
    <w:p w14:paraId="2E0E88C4" w14:textId="77777777" w:rsidR="00DF448C" w:rsidRDefault="00DF448C" w:rsidP="00DF448C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</w:pPr>
    </w:p>
    <w:p w14:paraId="2DB72F1D" w14:textId="2A8E3EDE" w:rsidR="00DF448C" w:rsidRPr="000A4116" w:rsidRDefault="00DF448C" w:rsidP="00DF448C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sectPr w:rsidR="00DF448C" w:rsidRPr="000A4116" w:rsidSect="001E44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797254E" w14:textId="77777777" w:rsidR="00AD7EB6" w:rsidRPr="00AD7EB6" w:rsidRDefault="00AD7EB6" w:rsidP="00AD7EB6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5" w:name="_Hlk97711470"/>
      <w:r w:rsidRPr="00AD7EB6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449/</w:t>
      </w:r>
      <w:r w:rsidR="00D25FC0">
        <w:rPr>
          <w:rFonts w:ascii="Arial" w:eastAsia="Times New Roman" w:hAnsi="Arial" w:cs="Arial"/>
          <w:bCs/>
          <w:sz w:val="24"/>
          <w:szCs w:val="24"/>
          <w:lang w:eastAsia="pl-PL"/>
        </w:rPr>
        <w:t>9309</w:t>
      </w:r>
      <w:r w:rsidRPr="00AD7EB6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2C7EFCE6" w14:textId="77777777" w:rsidR="00AD7EB6" w:rsidRPr="00AD7EB6" w:rsidRDefault="00AD7EB6" w:rsidP="00AD7EB6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7EB6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1EB8DC0C" w14:textId="77777777" w:rsidR="00AD7EB6" w:rsidRPr="00AD7EB6" w:rsidRDefault="00AD7EB6" w:rsidP="00AD7EB6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7EB6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34DE7FB1" w14:textId="77777777" w:rsidR="00AD7EB6" w:rsidRDefault="00AD7EB6" w:rsidP="00AD7EB6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7EB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AD7EB6">
        <w:rPr>
          <w:rFonts w:ascii="Arial" w:eastAsia="Times New Roman" w:hAnsi="Arial" w:cs="Times New Roman"/>
          <w:sz w:val="24"/>
          <w:szCs w:val="24"/>
          <w:lang w:eastAsia="pl-PL"/>
        </w:rPr>
        <w:t xml:space="preserve">4 stycznia 2023 </w:t>
      </w:r>
      <w:r w:rsidRPr="00AD7EB6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5"/>
    </w:p>
    <w:p w14:paraId="56D58024" w14:textId="77777777" w:rsidR="00AD7EB6" w:rsidRPr="00AD7EB6" w:rsidRDefault="00AD7EB6" w:rsidP="00AD7EB6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7A1D2EC" w14:textId="77777777" w:rsidR="000A4116" w:rsidRPr="000A4116" w:rsidRDefault="000A4116" w:rsidP="000A4116">
      <w:pPr>
        <w:spacing w:after="24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0A411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Opinia o spójności dokumentu ze </w:t>
      </w:r>
      <w:r w:rsidRPr="000A4116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Strategią rozwoju województwa – Podkarpackie 2030</w:t>
      </w:r>
      <w:r w:rsidRPr="000A411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w zakresie sposobu uwzględnienia w nim ustaleń i rekomendacji dotyczących kształtowania i prowadzenia polityki przestrzennej w województwie.</w:t>
      </w:r>
    </w:p>
    <w:p w14:paraId="76258C83" w14:textId="77777777" w:rsidR="000A4116" w:rsidRPr="000A4116" w:rsidRDefault="000A4116" w:rsidP="000A4116">
      <w:pPr>
        <w:spacing w:after="120" w:line="276" w:lineRule="auto"/>
        <w:jc w:val="both"/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</w:pPr>
      <w:r w:rsidRPr="000A4116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Zgodnie z art. 10f ust. 2 i 3 ustawy z dnia 8 marca 1990 r. </w:t>
      </w:r>
      <w:r w:rsidRPr="000A4116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shd w:val="clear" w:color="auto" w:fill="FFFFFF"/>
        </w:rPr>
        <w:t>o samorządzie gminnym</w:t>
      </w:r>
      <w:r w:rsidRPr="000A4116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0A4116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t.j</w:t>
      </w:r>
      <w:proofErr w:type="spellEnd"/>
      <w:r w:rsidRPr="000A4116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. Dz. U. z 2022 r. poz. 559 ze zm., dalej </w:t>
      </w:r>
      <w:proofErr w:type="spellStart"/>
      <w:r w:rsidRPr="000A4116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u.s.g</w:t>
      </w:r>
      <w:proofErr w:type="spellEnd"/>
      <w:r w:rsidRPr="000A4116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.) opracowany przez wójta projekt strategii rozwoju gminy przedkładany jest zarządowi województwa w celu wydania opinii </w:t>
      </w:r>
      <w:bookmarkStart w:id="6" w:name="_Hlk95207198"/>
      <w:r w:rsidRPr="000A4116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dotyczącej sposobu uwzględnienia ustaleń i rekomendacji w zakresie kształtowania </w:t>
      </w:r>
      <w:r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br/>
      </w:r>
      <w:r w:rsidRPr="000A4116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i prowadzenia polityki przestrzennej w województwie określonych w strategii rozwoju województwa.</w:t>
      </w:r>
    </w:p>
    <w:bookmarkEnd w:id="6"/>
    <w:p w14:paraId="198C6332" w14:textId="77777777" w:rsidR="000A4116" w:rsidRPr="000A4116" w:rsidRDefault="000A4116" w:rsidP="000A4116">
      <w:pPr>
        <w:spacing w:after="120" w:line="276" w:lineRule="auto"/>
        <w:jc w:val="both"/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</w:pPr>
      <w:r w:rsidRPr="000A4116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39C63454" w14:textId="77777777" w:rsidR="000A4116" w:rsidRPr="000A4116" w:rsidRDefault="000A4116" w:rsidP="000A4116">
      <w:pPr>
        <w:spacing w:after="120" w:line="276" w:lineRule="auto"/>
        <w:jc w:val="both"/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</w:pPr>
      <w:bookmarkStart w:id="7" w:name="_Hlk98835338"/>
      <w:bookmarkStart w:id="8" w:name="_Hlk97803195"/>
      <w:r w:rsidRPr="000A4116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W dniu </w:t>
      </w:r>
      <w:r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8</w:t>
      </w:r>
      <w:r w:rsidRPr="000A4116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grudnia</w:t>
      </w:r>
      <w:r w:rsidRPr="000A4116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2022 r. do Urzędu Marszałkowskiego Województwa Podkarpackiego wpłynęło pismo z dnia </w:t>
      </w:r>
      <w:r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7 grudnia</w:t>
      </w:r>
      <w:r w:rsidRPr="000A4116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2022 r., znak: R</w:t>
      </w:r>
      <w:r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OW</w:t>
      </w:r>
      <w:r w:rsidRPr="000A4116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.061.</w:t>
      </w:r>
      <w:r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10</w:t>
      </w:r>
      <w:r w:rsidRPr="000A4116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.2022 Pana </w:t>
      </w:r>
      <w:r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Janusza Skotnickiego – Burmistrza Tyczyna</w:t>
      </w:r>
      <w:r w:rsidRPr="000A4116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zawierające prośbę o wydanie opinii o której mowa w art. 10f ust. 2 i 3 </w:t>
      </w:r>
      <w:proofErr w:type="spellStart"/>
      <w:r w:rsidRPr="000A4116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u.s.g</w:t>
      </w:r>
      <w:proofErr w:type="spellEnd"/>
      <w:r w:rsidRPr="000A4116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. dla </w:t>
      </w:r>
      <w:r w:rsidRPr="000A4116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Projektu Strategii Rozwoju Gminy </w:t>
      </w:r>
      <w:r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shd w:val="clear" w:color="auto" w:fill="FFFFFF"/>
        </w:rPr>
        <w:t>Tyczyn</w:t>
      </w:r>
      <w:r w:rsidRPr="000A4116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9D4115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na lata </w:t>
      </w:r>
      <w:r w:rsidRPr="000A4116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shd w:val="clear" w:color="auto" w:fill="FFFFFF"/>
        </w:rPr>
        <w:t>2022-2030</w:t>
      </w:r>
      <w:r w:rsidRPr="000A4116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0A4116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SRG </w:t>
      </w:r>
      <w:r w:rsidRPr="000A4116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lub </w:t>
      </w:r>
      <w:r w:rsidRPr="000A4116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shd w:val="clear" w:color="auto" w:fill="FFFFFF"/>
        </w:rPr>
        <w:t>Projekt</w:t>
      </w:r>
      <w:r w:rsidRPr="000A4116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).</w:t>
      </w:r>
    </w:p>
    <w:bookmarkEnd w:id="7"/>
    <w:bookmarkEnd w:id="8"/>
    <w:p w14:paraId="03D25914" w14:textId="77777777" w:rsidR="000A4116" w:rsidRDefault="000A4116" w:rsidP="000A4116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A411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Przeprowadzona analiza wykazała, że zakres przedstawionego </w:t>
      </w:r>
      <w:r w:rsidRPr="000A411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Projektu Strategii Rozwoju Gminy </w:t>
      </w:r>
      <w:r w:rsidR="00C73B4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Tyczyn</w:t>
      </w:r>
      <w:r w:rsidR="009D411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na lata</w:t>
      </w:r>
      <w:r w:rsidRPr="000A411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2022-2030</w:t>
      </w:r>
      <w:r w:rsidRPr="000A411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mieści się w horyzoncie czasowym przyjętym w </w:t>
      </w:r>
      <w:r w:rsidRPr="000A411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Strategii rozwoju województwa – Podkarpackie 2030 </w:t>
      </w:r>
      <w:r w:rsidRPr="000A411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Pr="000A411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Pr="000A411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). Wyznaczone w nim cele strategiczne, a także cele operacyjne wraz z wymienionymi w ich ramach kierunkami działań wpisują się w zapisy </w:t>
      </w:r>
      <w:r w:rsidRPr="000A411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Pr="000A411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W szczególności można przypisać je w sposób bezpośredni lub pośredni m.in. w niżej wymienione obszary tematyczne i priorytety.</w:t>
      </w:r>
    </w:p>
    <w:p w14:paraId="37B01095" w14:textId="77777777" w:rsidR="000A4116" w:rsidRPr="003D31E5" w:rsidRDefault="000A4116" w:rsidP="000A4116">
      <w:pPr>
        <w:spacing w:before="240" w:after="24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b/>
          <w:color w:val="000000" w:themeColor="text1"/>
          <w:sz w:val="24"/>
          <w:szCs w:val="24"/>
        </w:rPr>
        <w:t>OBSZAR TEMATYCZNY 1. GOSPODARKA I NAUKA</w:t>
      </w:r>
    </w:p>
    <w:p w14:paraId="7879066F" w14:textId="77777777" w:rsidR="000A4116" w:rsidRPr="003D31E5" w:rsidRDefault="000A4116" w:rsidP="000A4116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>Priorytet 1.3. Konkurencyjność gospodarki poprzez innowacje i nowoczesne technologie</w:t>
      </w:r>
    </w:p>
    <w:p w14:paraId="55F8B627" w14:textId="77777777" w:rsidR="000A4116" w:rsidRPr="003D31E5" w:rsidRDefault="000A4116" w:rsidP="000A4116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>W Priorytet wpisują się cele operacyjne: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1.3, 2.3 oraz 3.2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D31E5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170CA50" w14:textId="77777777" w:rsidR="000A4116" w:rsidRPr="003D31E5" w:rsidRDefault="000A4116" w:rsidP="000A4116">
      <w:pPr>
        <w:spacing w:before="240" w:after="24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b/>
          <w:color w:val="000000" w:themeColor="text1"/>
          <w:sz w:val="24"/>
          <w:szCs w:val="24"/>
        </w:rPr>
        <w:t>OBSZAR TEMATYCZNY 2. KAPITAŁ LUDZKI I SPOŁECZNY</w:t>
      </w:r>
    </w:p>
    <w:p w14:paraId="1F0E383B" w14:textId="77777777" w:rsidR="000A4116" w:rsidRPr="003D31E5" w:rsidRDefault="000A4116" w:rsidP="000A4116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>Priorytet 2.1. Edukacja</w:t>
      </w:r>
    </w:p>
    <w:p w14:paraId="7F8FE8C0" w14:textId="77777777" w:rsidR="000A4116" w:rsidRPr="003D31E5" w:rsidRDefault="000A4116" w:rsidP="000A4116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>W Priorytet wpisuj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 xml:space="preserve"> się cel operacyjn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y 1.2 </w:t>
      </w:r>
      <w:r w:rsidRPr="003D31E5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EE10C3A" w14:textId="77777777" w:rsidR="000A4116" w:rsidRPr="003D31E5" w:rsidRDefault="000A4116" w:rsidP="000A4116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lastRenderedPageBreak/>
        <w:t>Priorytet 2.3. Kultura i dziedzictwo kulturowe</w:t>
      </w:r>
    </w:p>
    <w:p w14:paraId="2A9EFE4A" w14:textId="77777777" w:rsidR="000A4116" w:rsidRPr="003D31E5" w:rsidRDefault="000A4116" w:rsidP="000A4116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>W Priorytet wpisuj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 xml:space="preserve"> się cele operacyjn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y 1.3 </w:t>
      </w:r>
      <w:r w:rsidRPr="003D31E5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08E21F8" w14:textId="77777777" w:rsidR="000A4116" w:rsidRPr="003D31E5" w:rsidRDefault="000A4116" w:rsidP="000A4116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>Priorytet 2.6. Włączenie społeczne</w:t>
      </w:r>
    </w:p>
    <w:p w14:paraId="57B9ECB3" w14:textId="77777777" w:rsidR="000A4116" w:rsidRPr="003D31E5" w:rsidRDefault="000A4116" w:rsidP="000A4116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>W Priorytet wpisuj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 xml:space="preserve"> się cel operacyjn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y 1.2 </w:t>
      </w:r>
      <w:r w:rsidRPr="003D31E5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2BA856B" w14:textId="77777777" w:rsidR="000A4116" w:rsidRPr="003D31E5" w:rsidRDefault="000A4116" w:rsidP="000A4116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>Priorytet 2.7. Aktywny styl życia i sport</w:t>
      </w:r>
    </w:p>
    <w:p w14:paraId="189D0D0D" w14:textId="77777777" w:rsidR="000A4116" w:rsidRPr="003D31E5" w:rsidRDefault="000A4116" w:rsidP="000A4116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>W Priorytet wpisuj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 xml:space="preserve"> się cel operacyjn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y 1.3 </w:t>
      </w:r>
      <w:r w:rsidRPr="003D31E5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C0A6185" w14:textId="77777777" w:rsidR="000A4116" w:rsidRPr="003D31E5" w:rsidRDefault="000A4116" w:rsidP="000A4116">
      <w:pPr>
        <w:spacing w:before="240" w:after="24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b/>
          <w:color w:val="000000" w:themeColor="text1"/>
          <w:sz w:val="24"/>
          <w:szCs w:val="24"/>
        </w:rPr>
        <w:t>OBSZAR TEMATYCZNY 3. INFRASTRUKTURA DLA ZRÓWNOWAŻONEGO ROZWOJU I ŚRODOWISKA</w:t>
      </w:r>
    </w:p>
    <w:p w14:paraId="154C1531" w14:textId="77777777" w:rsidR="000A4116" w:rsidRPr="003D31E5" w:rsidRDefault="000A4116" w:rsidP="000A4116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>Priorytet 3.1. Bezpieczeństwo energetyczne i OZE</w:t>
      </w:r>
    </w:p>
    <w:p w14:paraId="22D5C588" w14:textId="77777777" w:rsidR="000A4116" w:rsidRPr="003D31E5" w:rsidRDefault="000A4116" w:rsidP="000A4116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 xml:space="preserve">W Priorytet wpisują się cele operacyjne: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2.1 oraz 3.1 </w:t>
      </w:r>
      <w:r w:rsidRPr="003D31E5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E07A5E1" w14:textId="77777777" w:rsidR="000A4116" w:rsidRPr="003D31E5" w:rsidRDefault="000A4116" w:rsidP="000A4116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>Priorytet 3.3. Poprawa dostępności komunikacyjnej wewnątrz regionu oraz rozwój transportu publicznego</w:t>
      </w:r>
    </w:p>
    <w:p w14:paraId="0673A0C7" w14:textId="77777777" w:rsidR="000A4116" w:rsidRPr="003D31E5" w:rsidRDefault="000A4116" w:rsidP="000A4116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>W Priorytet wpisuj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 xml:space="preserve"> się cel operacyjn</w:t>
      </w:r>
      <w:r>
        <w:rPr>
          <w:rFonts w:ascii="Arial" w:hAnsi="Arial" w:cs="Arial"/>
          <w:color w:val="000000" w:themeColor="text1"/>
          <w:sz w:val="24"/>
          <w:szCs w:val="24"/>
        </w:rPr>
        <w:t>y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2.1 </w:t>
      </w:r>
      <w:r w:rsidRPr="003D31E5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CEBA579" w14:textId="77777777" w:rsidR="000A4116" w:rsidRPr="003D31E5" w:rsidRDefault="000A4116" w:rsidP="000A4116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>Priorytet 3.4. Rozwój infrastruktury informacyjno-komunikacyjnej w regionie</w:t>
      </w:r>
    </w:p>
    <w:p w14:paraId="1737C8C2" w14:textId="77777777" w:rsidR="000A4116" w:rsidRPr="003D31E5" w:rsidRDefault="000A4116" w:rsidP="000A4116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 xml:space="preserve">W Priorytet wpisuje się cel operacyjny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2.2 </w:t>
      </w:r>
      <w:r w:rsidRPr="003D31E5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21D7DFC" w14:textId="77777777" w:rsidR="000A4116" w:rsidRPr="003D31E5" w:rsidRDefault="000A4116" w:rsidP="000A4116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>Priorytet 3.5. Rozwój infrastruktury służącej prowadzeniu działalności gospodarczej i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>turystyki</w:t>
      </w:r>
    </w:p>
    <w:p w14:paraId="50771FA3" w14:textId="77777777" w:rsidR="000A4116" w:rsidRPr="003D31E5" w:rsidRDefault="000A4116" w:rsidP="000A4116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9" w:name="_Hlk117161701"/>
      <w:r w:rsidRPr="003D31E5">
        <w:rPr>
          <w:rFonts w:ascii="Arial" w:hAnsi="Arial" w:cs="Arial"/>
          <w:color w:val="000000" w:themeColor="text1"/>
          <w:sz w:val="24"/>
          <w:szCs w:val="24"/>
        </w:rPr>
        <w:t>W Priorytet wpisują się cele operacyjne: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1.3 oraz 2.3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D31E5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9"/>
    <w:p w14:paraId="05058A0F" w14:textId="77777777" w:rsidR="000A4116" w:rsidRPr="003D31E5" w:rsidRDefault="000A4116" w:rsidP="000A4116">
      <w:pPr>
        <w:spacing w:after="120" w:line="276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>Priorytet 3.6. Przeciwdziałanie i minimalizowanie skutków zagrożeń wywołanych czynnikami naturalnymi</w:t>
      </w:r>
    </w:p>
    <w:p w14:paraId="408E0CC2" w14:textId="77777777" w:rsidR="000A4116" w:rsidRPr="003D31E5" w:rsidRDefault="000A4116" w:rsidP="000A4116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 xml:space="preserve">W Priorytet wpisują się cele operacyjne: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2.2 oraz 3.2 </w:t>
      </w:r>
      <w:r w:rsidRPr="003D31E5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48C47DE" w14:textId="77777777" w:rsidR="000A4116" w:rsidRPr="003D31E5" w:rsidRDefault="000A4116" w:rsidP="000A4116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>Priorytet 3.7. Zapobieganie i minimalizowanie skutków zagrożeń antropogenicznych</w:t>
      </w:r>
    </w:p>
    <w:p w14:paraId="34ADDDE0" w14:textId="77777777" w:rsidR="000A4116" w:rsidRPr="003D31E5" w:rsidRDefault="000A4116" w:rsidP="000A4116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 xml:space="preserve">W Priorytet wpisują się cele operacyjne: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2.2, 3.2 oraz 3.3 </w:t>
      </w:r>
      <w:r w:rsidRPr="003D31E5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D25A622" w14:textId="77777777" w:rsidR="000A4116" w:rsidRPr="003D31E5" w:rsidRDefault="000A4116" w:rsidP="000A4116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>Priorytet 3.8. Zarządzanie zasobami dziedzictwa przyrodniczego, w tym ochrona i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>poprawianie stanu różnorodności biologicznej i krajobrazu</w:t>
      </w:r>
    </w:p>
    <w:p w14:paraId="78630BF6" w14:textId="77777777" w:rsidR="000A4116" w:rsidRPr="003D31E5" w:rsidRDefault="000A4116" w:rsidP="000A4116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 xml:space="preserve">W Priorytet wpisuje się cel operacyjny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3.2 </w:t>
      </w:r>
      <w:r w:rsidRPr="003D31E5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ACEE39E" w14:textId="77777777" w:rsidR="000A4116" w:rsidRPr="003D31E5" w:rsidRDefault="000A4116" w:rsidP="000A4116">
      <w:pPr>
        <w:spacing w:before="240" w:after="24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b/>
          <w:color w:val="000000" w:themeColor="text1"/>
          <w:sz w:val="24"/>
          <w:szCs w:val="24"/>
        </w:rPr>
        <w:t>OBSZAR TEMATYCZNY 4. DOSTĘPNOŚĆ USŁUG</w:t>
      </w:r>
    </w:p>
    <w:p w14:paraId="3DFED2A1" w14:textId="77777777" w:rsidR="000A4116" w:rsidRPr="003D31E5" w:rsidRDefault="000A4116" w:rsidP="000A4116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>Priorytet 4.2. Planowanie przestrzenne wspierające aktywizację społeczności i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>aktywizacja obszarów zdegradowanych</w:t>
      </w:r>
    </w:p>
    <w:p w14:paraId="73E34719" w14:textId="77777777" w:rsidR="000A4116" w:rsidRPr="003D31E5" w:rsidRDefault="000A4116" w:rsidP="000A4116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0" w:name="_Hlk115090079"/>
      <w:r w:rsidRPr="003D31E5">
        <w:rPr>
          <w:rFonts w:ascii="Arial" w:hAnsi="Arial" w:cs="Arial"/>
          <w:color w:val="000000" w:themeColor="text1"/>
          <w:sz w:val="24"/>
          <w:szCs w:val="24"/>
        </w:rPr>
        <w:t>W Priorytet wpisują się cele operacyjne: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1.2 oraz 1.3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D31E5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>.</w:t>
      </w:r>
      <w:bookmarkEnd w:id="10"/>
    </w:p>
    <w:p w14:paraId="712B7766" w14:textId="77777777" w:rsidR="000A4116" w:rsidRPr="003D31E5" w:rsidRDefault="000A4116" w:rsidP="000A4116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>Priorytet 4.3. Wsparcie instytucjonalne i poprawa bezpieczeństwa mieszkańców</w:t>
      </w:r>
    </w:p>
    <w:p w14:paraId="2B9084DC" w14:textId="77777777" w:rsidR="000A4116" w:rsidRPr="003D31E5" w:rsidRDefault="000A4116" w:rsidP="000A4116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>W Priorytet wpisuje się cel operacyjny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1.1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D31E5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245A8B0" w14:textId="77777777" w:rsidR="000A4116" w:rsidRPr="003D31E5" w:rsidRDefault="000A4116" w:rsidP="000A4116">
      <w:pPr>
        <w:spacing w:before="240" w:after="24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b/>
          <w:color w:val="000000" w:themeColor="text1"/>
          <w:sz w:val="24"/>
          <w:szCs w:val="24"/>
        </w:rPr>
        <w:t>OBSZAR HORYZONTALNY – TERYTORIALNY WYMIAR STRATEGII</w:t>
      </w:r>
    </w:p>
    <w:p w14:paraId="25654DB1" w14:textId="77777777" w:rsidR="000A4116" w:rsidRDefault="000A4116" w:rsidP="000A4116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>Priorytet 7.</w:t>
      </w:r>
      <w:r>
        <w:rPr>
          <w:rFonts w:ascii="Arial" w:hAnsi="Arial" w:cs="Arial"/>
          <w:color w:val="000000" w:themeColor="text1"/>
          <w:sz w:val="24"/>
          <w:szCs w:val="24"/>
        </w:rPr>
        <w:t>1.</w:t>
      </w:r>
      <w:r w:rsidRPr="00E73ED9">
        <w:t xml:space="preserve"> </w:t>
      </w:r>
      <w:r w:rsidRPr="00E73ED9">
        <w:rPr>
          <w:rFonts w:ascii="Arial" w:hAnsi="Arial" w:cs="Arial"/>
          <w:color w:val="000000" w:themeColor="text1"/>
          <w:sz w:val="24"/>
          <w:szCs w:val="24"/>
        </w:rPr>
        <w:t>Wykorzystanie policentrycznego miejskiego układu osadniczego</w:t>
      </w:r>
    </w:p>
    <w:p w14:paraId="3A624C67" w14:textId="77777777" w:rsidR="000A4116" w:rsidRDefault="000A4116" w:rsidP="000A4116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2119">
        <w:rPr>
          <w:rFonts w:ascii="Arial" w:hAnsi="Arial" w:cs="Arial"/>
          <w:color w:val="000000" w:themeColor="text1"/>
          <w:sz w:val="24"/>
          <w:szCs w:val="24"/>
        </w:rPr>
        <w:t>Priorytet 7.2.</w:t>
      </w:r>
      <w:r w:rsidRPr="009B2119">
        <w:t xml:space="preserve"> </w:t>
      </w:r>
      <w:r w:rsidRPr="009B2119">
        <w:rPr>
          <w:rFonts w:ascii="Arial" w:hAnsi="Arial" w:cs="Arial"/>
          <w:color w:val="000000" w:themeColor="text1"/>
          <w:sz w:val="24"/>
          <w:szCs w:val="24"/>
        </w:rPr>
        <w:t>Funkcje metropolitalne Rzeszowa oraz jego obszaru funkcjonalnego</w:t>
      </w:r>
    </w:p>
    <w:p w14:paraId="6819E1BC" w14:textId="77777777" w:rsidR="000A4116" w:rsidRPr="003D31E5" w:rsidRDefault="000A4116" w:rsidP="000A4116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lastRenderedPageBreak/>
        <w:t>Priorytet 7.4. Obszary wiejskie – wysoka jakość przestrzeni do zamieszkania, pracy i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>wypoczynku</w:t>
      </w:r>
    </w:p>
    <w:p w14:paraId="43F5CCBA" w14:textId="77777777" w:rsidR="000A4116" w:rsidRPr="000A4116" w:rsidRDefault="000A4116" w:rsidP="000A4116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4116">
        <w:rPr>
          <w:rFonts w:ascii="Arial" w:eastAsia="Times New Roman" w:hAnsi="Arial" w:cs="Arial"/>
          <w:sz w:val="24"/>
          <w:szCs w:val="24"/>
          <w:lang w:eastAsia="pl-PL"/>
        </w:rPr>
        <w:t xml:space="preserve">Przedłożona do zaopiniowania </w:t>
      </w:r>
      <w:r w:rsidRPr="000A4116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0A4116">
        <w:rPr>
          <w:rFonts w:ascii="Arial" w:eastAsia="Times New Roman" w:hAnsi="Arial" w:cs="Arial"/>
          <w:sz w:val="24"/>
          <w:szCs w:val="24"/>
          <w:lang w:eastAsia="pl-PL"/>
        </w:rPr>
        <w:t xml:space="preserve"> została zweryfikowana zgodnie z zakresem art. 10f ust. 2 </w:t>
      </w:r>
      <w:proofErr w:type="spellStart"/>
      <w:r w:rsidRPr="000A4116">
        <w:rPr>
          <w:rFonts w:ascii="Arial" w:eastAsia="Times New Roman" w:hAnsi="Arial" w:cs="Arial"/>
          <w:sz w:val="24"/>
          <w:szCs w:val="24"/>
          <w:lang w:eastAsia="pl-PL"/>
        </w:rPr>
        <w:t>u.s.g</w:t>
      </w:r>
      <w:proofErr w:type="spellEnd"/>
      <w:r w:rsidRPr="000A4116">
        <w:rPr>
          <w:rFonts w:ascii="Arial" w:eastAsia="Times New Roman" w:hAnsi="Arial" w:cs="Arial"/>
          <w:sz w:val="24"/>
          <w:szCs w:val="24"/>
          <w:lang w:eastAsia="pl-PL"/>
        </w:rPr>
        <w:t>., a także przeanalizowana z punktu widzenia elementów</w:t>
      </w:r>
      <w:r w:rsidR="009D411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0A4116">
        <w:rPr>
          <w:rFonts w:ascii="Arial" w:eastAsia="Times New Roman" w:hAnsi="Arial" w:cs="Arial"/>
          <w:sz w:val="24"/>
          <w:szCs w:val="24"/>
          <w:lang w:eastAsia="pl-PL"/>
        </w:rPr>
        <w:t xml:space="preserve"> o których mowa w art. 10e ust. 3 i 4 </w:t>
      </w:r>
      <w:proofErr w:type="spellStart"/>
      <w:r w:rsidRPr="000A4116">
        <w:rPr>
          <w:rFonts w:ascii="Arial" w:eastAsia="Times New Roman" w:hAnsi="Arial" w:cs="Arial"/>
          <w:sz w:val="24"/>
          <w:szCs w:val="24"/>
          <w:lang w:eastAsia="pl-PL"/>
        </w:rPr>
        <w:t>u.s.g</w:t>
      </w:r>
      <w:proofErr w:type="spellEnd"/>
      <w:r w:rsidRPr="000A4116">
        <w:rPr>
          <w:rFonts w:ascii="Arial" w:eastAsia="Times New Roman" w:hAnsi="Arial" w:cs="Arial"/>
          <w:sz w:val="24"/>
          <w:szCs w:val="24"/>
          <w:lang w:eastAsia="pl-PL"/>
        </w:rPr>
        <w:t>. Zgodnie z przywołaną regulacją, strategia rozwoju gminy powinna bowiem zawierać m.in. wnioski z diagnozy, cele strategiczne rozwoju w wymiarze społecznym, gospodarczym i przestrzennym, kierunki działań podejmowanych dla osiągnięcia celów strategicznych, oczekiwane rezultaty planowanych działań, w tym w wymiarze przestrzennym, oraz wskaźniki ich osiągnięcia, model struktury funkcjonalno-przestrzennej, ustalenia i rekomendacje w zakresie kształtowania i prowadzenia polityki przestrzennej w gminie, obszary strategicznej interwencji określone w strategii rozwoju województwa wraz z zakresem planowanych działań, obszary strategicznej interwencji kluczowe dla gminy, jeżeli takie zidentyfikowano, wraz z zakresem planowanych działań, system realizacji strategii, w tym wytyczne do sporządzania dokumentów wykonawczych oraz ramy finansowe i źródła finansowania.</w:t>
      </w:r>
    </w:p>
    <w:p w14:paraId="47BBD6D5" w14:textId="77777777" w:rsidR="000A4116" w:rsidRPr="000A4116" w:rsidRDefault="000A4116" w:rsidP="000A4116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1" w:name="_Hlk109727219"/>
      <w:r w:rsidRPr="000A4116">
        <w:rPr>
          <w:rFonts w:ascii="Arial" w:eastAsia="Times New Roman" w:hAnsi="Arial" w:cs="Arial"/>
          <w:sz w:val="24"/>
          <w:szCs w:val="24"/>
          <w:lang w:eastAsia="pl-PL"/>
        </w:rPr>
        <w:t xml:space="preserve">Weryfikacja dokumentu potwierdziła, że </w:t>
      </w:r>
      <w:r w:rsidRPr="000A4116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0A4116">
        <w:rPr>
          <w:rFonts w:ascii="Arial" w:eastAsia="Times New Roman" w:hAnsi="Arial" w:cs="Arial"/>
          <w:sz w:val="24"/>
          <w:szCs w:val="24"/>
          <w:lang w:eastAsia="pl-PL"/>
        </w:rPr>
        <w:t xml:space="preserve"> zawiera elementy o których mowa w art. 10e ust. 3 i 4 </w:t>
      </w:r>
      <w:proofErr w:type="spellStart"/>
      <w:r w:rsidRPr="000A4116">
        <w:rPr>
          <w:rFonts w:ascii="Arial" w:eastAsia="Times New Roman" w:hAnsi="Arial" w:cs="Arial"/>
          <w:sz w:val="24"/>
          <w:szCs w:val="24"/>
          <w:lang w:eastAsia="pl-PL"/>
        </w:rPr>
        <w:t>u.s.g</w:t>
      </w:r>
      <w:proofErr w:type="spellEnd"/>
      <w:r w:rsidRPr="000A4116">
        <w:rPr>
          <w:rFonts w:ascii="Arial" w:eastAsia="Times New Roman" w:hAnsi="Arial" w:cs="Arial"/>
          <w:sz w:val="24"/>
          <w:szCs w:val="24"/>
          <w:lang w:eastAsia="pl-PL"/>
        </w:rPr>
        <w:t>.</w:t>
      </w:r>
      <w:bookmarkEnd w:id="11"/>
      <w:r w:rsidRPr="000A4116">
        <w:rPr>
          <w:rFonts w:ascii="Arial" w:eastAsia="Times New Roman" w:hAnsi="Arial" w:cs="Arial"/>
          <w:sz w:val="24"/>
          <w:szCs w:val="24"/>
          <w:lang w:eastAsia="pl-PL"/>
        </w:rPr>
        <w:t>, jednakże w stosunku do niektórych z nich Zarząd Województwa Podkarpackiego wskazuje Projektodawcy rekomendacje, których uwzględnienie wzmocni spójność opiniowanego dokumentu.</w:t>
      </w:r>
    </w:p>
    <w:p w14:paraId="0C2D8C5D" w14:textId="77777777" w:rsidR="000A4116" w:rsidRPr="000A4116" w:rsidRDefault="000A4116" w:rsidP="000A4116">
      <w:pPr>
        <w:spacing w:after="120" w:line="276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0A4116">
        <w:rPr>
          <w:rFonts w:ascii="Arial" w:eastAsia="Times New Roman" w:hAnsi="Arial" w:cs="Arial"/>
          <w:sz w:val="24"/>
          <w:szCs w:val="24"/>
          <w:lang w:eastAsia="pl-PL"/>
        </w:rPr>
        <w:t xml:space="preserve">W odniesieniu do zawartej w </w:t>
      </w:r>
      <w:r w:rsidRPr="000A4116">
        <w:rPr>
          <w:rFonts w:ascii="Arial" w:eastAsia="Times New Roman" w:hAnsi="Arial" w:cs="Arial"/>
          <w:i/>
          <w:sz w:val="24"/>
          <w:szCs w:val="24"/>
          <w:lang w:eastAsia="pl-PL"/>
        </w:rPr>
        <w:t>Projekcie</w:t>
      </w:r>
      <w:r w:rsidRPr="000A4116">
        <w:rPr>
          <w:rFonts w:ascii="Arial" w:eastAsia="Times New Roman" w:hAnsi="Arial" w:cs="Arial"/>
          <w:sz w:val="24"/>
          <w:szCs w:val="24"/>
          <w:lang w:eastAsia="pl-PL"/>
        </w:rPr>
        <w:t xml:space="preserve"> diagnozy, w celu wzmocnienia uzasadnienia dla dokonanych w </w:t>
      </w:r>
      <w:r w:rsidRPr="000A4116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0A4116">
        <w:rPr>
          <w:rFonts w:ascii="Arial" w:eastAsia="Times New Roman" w:hAnsi="Arial" w:cs="Arial"/>
          <w:sz w:val="24"/>
          <w:szCs w:val="24"/>
          <w:lang w:eastAsia="pl-PL"/>
        </w:rPr>
        <w:t xml:space="preserve"> przesądzeń kierunkowych, Zarząd Województwa Podkarpackiego sugeruje rozważenie przez Projektodawcę możliwości uzupełnienia jej zapisów w części analitycznej o zagadnienia dotyczące m.in. prowadzonej w gminie polityki inwestycyjnej rozumianej jako jej potencjał do tworzenia terenów inwestycyjnych, w tym pozyskania inwestora zewnętrznego, </w:t>
      </w:r>
      <w:r w:rsidR="008F7171" w:rsidRPr="008F7171">
        <w:rPr>
          <w:rFonts w:ascii="Arial" w:eastAsia="Times New Roman" w:hAnsi="Arial" w:cs="Arial"/>
          <w:sz w:val="24"/>
          <w:szCs w:val="24"/>
          <w:lang w:eastAsia="pl-PL"/>
        </w:rPr>
        <w:t xml:space="preserve">czy </w:t>
      </w:r>
      <w:r w:rsidRPr="000A4116">
        <w:rPr>
          <w:rFonts w:ascii="Arial" w:eastAsia="Times New Roman" w:hAnsi="Arial" w:cs="Arial"/>
          <w:sz w:val="24"/>
          <w:szCs w:val="24"/>
          <w:lang w:eastAsia="pl-PL"/>
        </w:rPr>
        <w:t>oceny poziomu rozwoju infrastruktury cyfrowej</w:t>
      </w:r>
      <w:r w:rsidR="008F7171" w:rsidRPr="008F7171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0A4116">
        <w:rPr>
          <w:rFonts w:ascii="Arial" w:eastAsia="Times New Roman" w:hAnsi="Arial" w:cs="Arial"/>
          <w:sz w:val="24"/>
          <w:szCs w:val="24"/>
          <w:lang w:eastAsia="pl-PL"/>
        </w:rPr>
        <w:t>Wszystkie wprowadzone w tym zakresie zmiany pozytywnie wpłyną na logikę dokumentu, a ponadto stanowić będą dodatkową argumentację dla przyjętych w nim rozstrzygnięć kierunkowych.</w:t>
      </w:r>
    </w:p>
    <w:p w14:paraId="4A6E7D3D" w14:textId="77777777" w:rsidR="004E4E3E" w:rsidRDefault="000A4116" w:rsidP="000A4116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4116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0A4116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0A4116">
        <w:rPr>
          <w:rFonts w:ascii="Arial" w:eastAsia="Times New Roman" w:hAnsi="Arial" w:cs="Arial"/>
          <w:sz w:val="24"/>
          <w:szCs w:val="24"/>
          <w:lang w:eastAsia="pl-PL"/>
        </w:rPr>
        <w:t xml:space="preserve"> wskazano kierunki działań zmierzające do realizacji celów strategicznych oraz określono oczekiwane ich rezultaty. Wskazano także wskaźniki ich osiągnięcia, ale jednocześnie nie określono jaki rok traktowany będzie jako bazowy, a także nie wskazano jednostek miary, co w praktyce utrudniać może ocenę zakładanych przyszłych efektów. </w:t>
      </w:r>
    </w:p>
    <w:p w14:paraId="0BC76282" w14:textId="77777777" w:rsidR="004E4E3E" w:rsidRPr="004E4E3E" w:rsidRDefault="004E4E3E" w:rsidP="004E4E3E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E4E3E">
        <w:rPr>
          <w:rFonts w:ascii="Arial" w:eastAsia="Times New Roman" w:hAnsi="Arial" w:cs="Arial"/>
          <w:sz w:val="24"/>
          <w:szCs w:val="24"/>
          <w:lang w:eastAsia="pl-PL"/>
        </w:rPr>
        <w:t xml:space="preserve">Przewidziany w </w:t>
      </w:r>
      <w:r w:rsidRPr="004E4E3E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4E4E3E">
        <w:rPr>
          <w:rFonts w:ascii="Arial" w:eastAsia="Times New Roman" w:hAnsi="Arial" w:cs="Arial"/>
          <w:sz w:val="24"/>
          <w:szCs w:val="24"/>
          <w:lang w:eastAsia="pl-PL"/>
        </w:rPr>
        <w:t xml:space="preserve"> system monitoringu odwołuje się do wskaźników produktu, rezultatu oraz oddziaływania, ale katalog wskaźników zawarty w rozdziale 7. </w:t>
      </w:r>
      <w:r w:rsidRPr="004E4E3E">
        <w:rPr>
          <w:rFonts w:ascii="Arial" w:eastAsia="Times New Roman" w:hAnsi="Arial" w:cs="Arial"/>
          <w:i/>
          <w:sz w:val="24"/>
          <w:szCs w:val="24"/>
          <w:lang w:eastAsia="pl-PL"/>
        </w:rPr>
        <w:t>Plan Operacyjny Strategii Rozwoju Gminy Tyczyn na lata 2022-2030 oraz kierunki interwencji rozwoju gminy</w:t>
      </w:r>
      <w:r w:rsidRPr="004E4E3E">
        <w:rPr>
          <w:rFonts w:ascii="Arial" w:eastAsia="Times New Roman" w:hAnsi="Arial" w:cs="Arial"/>
          <w:sz w:val="24"/>
          <w:szCs w:val="24"/>
          <w:lang w:eastAsia="pl-PL"/>
        </w:rPr>
        <w:t xml:space="preserve"> wskazuje wyłącznie wskaźniki produktu. Ponadto zamieszczony na str. 16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4E4E3E">
        <w:rPr>
          <w:rFonts w:ascii="Arial" w:eastAsia="Times New Roman" w:hAnsi="Arial" w:cs="Arial"/>
          <w:sz w:val="24"/>
          <w:szCs w:val="24"/>
          <w:lang w:eastAsia="pl-PL"/>
        </w:rPr>
        <w:t xml:space="preserve"> schemat wskazujący podmioty zaangażowane w realizację </w:t>
      </w:r>
      <w:r w:rsidRPr="004E4E3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4E4E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nie uwzględnia roli Koordynatora projektów, któremu w dalszej części </w:t>
      </w:r>
      <w:r w:rsidRPr="004E4E3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4E4E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przypisano zadania związane z przygotowaniem projektów realizujących jej zapisy. Dodatkowo, system realizacji przewiduje zaangażowanie Urzędu Gminy w Jarczowie, co zdaniem Zarządu Województwa Podkarpackiego nie znajduje swojego </w:t>
      </w:r>
      <w:r w:rsidRPr="004E4E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uzasadnienia. Mając na uwadze powyższe, rekomenduje się Projektodawcy wprowadzenie stosownych korekt w tym zakresie.</w:t>
      </w:r>
    </w:p>
    <w:p w14:paraId="7B1AC46E" w14:textId="77777777" w:rsidR="000A4116" w:rsidRPr="000A4116" w:rsidRDefault="000A4116" w:rsidP="000A4116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4116">
        <w:rPr>
          <w:rFonts w:ascii="Arial" w:eastAsia="Times New Roman" w:hAnsi="Arial" w:cs="Arial"/>
          <w:sz w:val="24"/>
          <w:szCs w:val="24"/>
          <w:lang w:eastAsia="pl-PL"/>
        </w:rPr>
        <w:t xml:space="preserve">Uwzględniając ww. spostrzeżenia, Zarząd Województwa Podkarpackiego sugeruje Projektodawcy dokonanie ponownego przeglądu tej części </w:t>
      </w:r>
      <w:r w:rsidRPr="000A4116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0A4116">
        <w:rPr>
          <w:rFonts w:ascii="Arial" w:eastAsia="Times New Roman" w:hAnsi="Arial" w:cs="Arial"/>
          <w:sz w:val="24"/>
          <w:szCs w:val="24"/>
          <w:lang w:eastAsia="pl-PL"/>
        </w:rPr>
        <w:t xml:space="preserve"> i wprowadzenie w niej ewentualnych korekt.</w:t>
      </w:r>
    </w:p>
    <w:p w14:paraId="4CEE9A6F" w14:textId="77777777" w:rsidR="000A4116" w:rsidRPr="000A4116" w:rsidRDefault="000A4116" w:rsidP="000A4116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4116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0A4116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0A4116">
        <w:rPr>
          <w:rFonts w:ascii="Arial" w:eastAsia="Times New Roman" w:hAnsi="Arial" w:cs="Arial"/>
          <w:sz w:val="24"/>
          <w:szCs w:val="24"/>
          <w:lang w:eastAsia="pl-PL"/>
        </w:rPr>
        <w:t xml:space="preserve"> zawarto model struktury funkcjonalno-przestrzennej gminy, który prezentuje kierunki rozwoju przestrzennego oraz zawiera wymagane dla tego rodzaju opracowań elementy. Niemniej jednak, w zakresie prezentacji kierunków rozwoju przestrzennego, Zarząd Województwa Podkarpackiego rekomenduje weryfikację przedstawionych na mapie 1</w:t>
      </w:r>
      <w:r w:rsidR="004E4E3E" w:rsidRPr="00AC5AC1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0A4116">
        <w:rPr>
          <w:rFonts w:ascii="Arial" w:eastAsia="Times New Roman" w:hAnsi="Arial" w:cs="Arial"/>
          <w:sz w:val="24"/>
          <w:szCs w:val="24"/>
          <w:lang w:eastAsia="pl-PL"/>
        </w:rPr>
        <w:t xml:space="preserve"> lokalizacji zadań inwestycyjnych. Na </w:t>
      </w:r>
      <w:r w:rsidR="004E4E3E" w:rsidRPr="00AC5AC1">
        <w:rPr>
          <w:rFonts w:ascii="Arial" w:eastAsia="Times New Roman" w:hAnsi="Arial" w:cs="Arial"/>
          <w:sz w:val="24"/>
          <w:szCs w:val="24"/>
          <w:lang w:eastAsia="pl-PL"/>
        </w:rPr>
        <w:t xml:space="preserve">ww. </w:t>
      </w:r>
      <w:r w:rsidRPr="000A4116">
        <w:rPr>
          <w:rFonts w:ascii="Arial" w:eastAsia="Times New Roman" w:hAnsi="Arial" w:cs="Arial"/>
          <w:sz w:val="24"/>
          <w:szCs w:val="24"/>
          <w:lang w:eastAsia="pl-PL"/>
        </w:rPr>
        <w:t>mapie dla każdego ośrodka osadniczego planowane są bowiem te same zadania, co zdaniem Zarządu Województwa Podkarpackiego może budzić wątpliwości zarówno co do ich zasadności, jak i samej możliwości realizacji. W szczególności dotyczy to takich inwestycji jak „</w:t>
      </w:r>
      <w:r w:rsidR="00AC5AC1" w:rsidRPr="00AC5AC1">
        <w:rPr>
          <w:rFonts w:ascii="Arial" w:eastAsia="Times New Roman" w:hAnsi="Arial" w:cs="Arial"/>
          <w:sz w:val="24"/>
          <w:szCs w:val="24"/>
          <w:lang w:eastAsia="pl-PL"/>
        </w:rPr>
        <w:t xml:space="preserve">budowa oraz </w:t>
      </w:r>
      <w:r w:rsidRPr="000A4116">
        <w:rPr>
          <w:rFonts w:ascii="Arial" w:eastAsia="Times New Roman" w:hAnsi="Arial" w:cs="Arial"/>
          <w:sz w:val="24"/>
          <w:szCs w:val="24"/>
          <w:lang w:eastAsia="pl-PL"/>
        </w:rPr>
        <w:t>modernizacja</w:t>
      </w:r>
      <w:r w:rsidR="00AC5AC1" w:rsidRPr="00AC5A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A4116">
        <w:rPr>
          <w:rFonts w:ascii="Arial" w:eastAsia="Times New Roman" w:hAnsi="Arial" w:cs="Arial"/>
          <w:sz w:val="24"/>
          <w:szCs w:val="24"/>
          <w:lang w:eastAsia="pl-PL"/>
        </w:rPr>
        <w:t>oczyszczalni ścieków”</w:t>
      </w:r>
      <w:r w:rsidR="00AC5AC1" w:rsidRPr="00AC5A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A4116">
        <w:rPr>
          <w:rFonts w:ascii="Arial" w:eastAsia="Times New Roman" w:hAnsi="Arial" w:cs="Arial"/>
          <w:sz w:val="24"/>
          <w:szCs w:val="24"/>
          <w:lang w:eastAsia="pl-PL"/>
        </w:rPr>
        <w:t xml:space="preserve"> Dodatkowo, rekomenduje się zmianę nazwy mapy nr 1</w:t>
      </w:r>
      <w:r w:rsidR="00AC5AC1" w:rsidRPr="00AC5AC1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0A4116">
        <w:rPr>
          <w:rFonts w:ascii="Arial" w:eastAsia="Times New Roman" w:hAnsi="Arial" w:cs="Arial"/>
          <w:sz w:val="24"/>
          <w:szCs w:val="24"/>
          <w:lang w:eastAsia="pl-PL"/>
        </w:rPr>
        <w:t>, albowiem nie przedstawia ona wyłącznie sieci osadniczej jak sugeruje jej opis, ale wskazuje również inne funkcje terenów.</w:t>
      </w:r>
    </w:p>
    <w:p w14:paraId="78A77282" w14:textId="77777777" w:rsidR="000A4116" w:rsidRPr="000A4116" w:rsidRDefault="000A4116" w:rsidP="000A4116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4116">
        <w:rPr>
          <w:rFonts w:ascii="Arial" w:eastAsia="Times New Roman" w:hAnsi="Arial" w:cs="Arial"/>
          <w:sz w:val="24"/>
          <w:szCs w:val="24"/>
          <w:lang w:eastAsia="pl-PL"/>
        </w:rPr>
        <w:t xml:space="preserve">Przeprowadzona analiza wykazała niepełne przypisanie gminy, zarówno w wersji tekstowej, jak i graficznej, do regionalnych obszarów strategicznej interwencji (OSI). Pominięto bowiem fakt, iż w </w:t>
      </w:r>
      <w:r w:rsidRPr="000A4116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Pr="000A4116">
        <w:rPr>
          <w:rFonts w:ascii="Arial" w:eastAsia="Times New Roman" w:hAnsi="Arial" w:cs="Arial"/>
          <w:sz w:val="24"/>
          <w:szCs w:val="24"/>
          <w:lang w:eastAsia="pl-PL"/>
        </w:rPr>
        <w:t xml:space="preserve"> gmina </w:t>
      </w:r>
      <w:r w:rsidR="00AC5AC1" w:rsidRPr="00AC5AC1">
        <w:rPr>
          <w:rFonts w:ascii="Arial" w:eastAsia="Times New Roman" w:hAnsi="Arial" w:cs="Arial"/>
          <w:sz w:val="24"/>
          <w:szCs w:val="24"/>
          <w:lang w:eastAsia="pl-PL"/>
        </w:rPr>
        <w:t>Tyczyn</w:t>
      </w:r>
      <w:r w:rsidRPr="000A4116">
        <w:rPr>
          <w:rFonts w:ascii="Arial" w:eastAsia="Times New Roman" w:hAnsi="Arial" w:cs="Arial"/>
          <w:sz w:val="24"/>
          <w:szCs w:val="24"/>
          <w:lang w:eastAsia="pl-PL"/>
        </w:rPr>
        <w:t xml:space="preserve"> zdelimitowana została także w ramach OSI</w:t>
      </w:r>
      <w:r w:rsidR="00AC5AC1" w:rsidRPr="00AC5A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A4116">
        <w:rPr>
          <w:rFonts w:ascii="Arial" w:eastAsia="Times New Roman" w:hAnsi="Arial" w:cs="Arial"/>
          <w:sz w:val="24"/>
          <w:szCs w:val="24"/>
          <w:lang w:eastAsia="pl-PL"/>
        </w:rPr>
        <w:t xml:space="preserve"> zakładających wsparcie dla </w:t>
      </w:r>
      <w:r w:rsidR="00AC5AC1" w:rsidRPr="00AC5AC1">
        <w:rPr>
          <w:rFonts w:ascii="Arial" w:eastAsia="Times New Roman" w:hAnsi="Arial" w:cs="Arial"/>
          <w:sz w:val="24"/>
          <w:szCs w:val="24"/>
          <w:lang w:eastAsia="pl-PL"/>
        </w:rPr>
        <w:t xml:space="preserve">Rzeszowskiego Obszaru Funkcjonalnego, w ramach Priorytetu 7.2. Funkcje metropolitalne Rzeszowa oraz jego obszaru funkcjonalnego. </w:t>
      </w:r>
      <w:r w:rsidRPr="000A4116">
        <w:rPr>
          <w:rFonts w:ascii="Arial" w:eastAsia="Times New Roman" w:hAnsi="Arial" w:cs="Arial"/>
          <w:sz w:val="24"/>
          <w:szCs w:val="24"/>
          <w:lang w:eastAsia="pl-PL"/>
        </w:rPr>
        <w:t xml:space="preserve">Mając na uwadze powyższe, </w:t>
      </w:r>
      <w:r w:rsidRPr="000A4116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0A4116">
        <w:rPr>
          <w:rFonts w:ascii="Arial" w:eastAsia="Times New Roman" w:hAnsi="Arial" w:cs="Arial"/>
          <w:sz w:val="24"/>
          <w:szCs w:val="24"/>
          <w:lang w:eastAsia="pl-PL"/>
        </w:rPr>
        <w:t xml:space="preserve"> należy o ten zakres uzupełnić</w:t>
      </w:r>
      <w:r w:rsidR="00AC5AC1" w:rsidRPr="00AC5AC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A4116">
        <w:rPr>
          <w:rFonts w:ascii="Arial" w:eastAsia="Times New Roman" w:hAnsi="Arial" w:cs="Arial"/>
          <w:sz w:val="24"/>
          <w:szCs w:val="24"/>
          <w:lang w:eastAsia="pl-PL"/>
        </w:rPr>
        <w:t>tj. wskazać ww. regionalny OSI oraz zakładane w jego ramach działania.</w:t>
      </w:r>
    </w:p>
    <w:p w14:paraId="4AE0CB6E" w14:textId="77777777" w:rsidR="000A4116" w:rsidRPr="000A4116" w:rsidRDefault="000A4116" w:rsidP="000A4116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411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SRG </w:t>
      </w:r>
      <w:r w:rsidRPr="000A4116">
        <w:rPr>
          <w:rFonts w:ascii="Arial" w:eastAsia="Times New Roman" w:hAnsi="Arial" w:cs="Arial"/>
          <w:sz w:val="24"/>
          <w:szCs w:val="24"/>
          <w:lang w:eastAsia="pl-PL"/>
        </w:rPr>
        <w:t xml:space="preserve">w myśl art. 10e ust. 3 pkt 9 </w:t>
      </w:r>
      <w:proofErr w:type="spellStart"/>
      <w:r w:rsidRPr="000A4116">
        <w:rPr>
          <w:rFonts w:ascii="Arial" w:eastAsia="Times New Roman" w:hAnsi="Arial" w:cs="Arial"/>
          <w:sz w:val="24"/>
          <w:szCs w:val="24"/>
          <w:lang w:eastAsia="pl-PL"/>
        </w:rPr>
        <w:t>u.s.g</w:t>
      </w:r>
      <w:proofErr w:type="spellEnd"/>
      <w:r w:rsidRPr="000A4116">
        <w:rPr>
          <w:rFonts w:ascii="Arial" w:eastAsia="Times New Roman" w:hAnsi="Arial" w:cs="Arial"/>
          <w:sz w:val="24"/>
          <w:szCs w:val="24"/>
          <w:lang w:eastAsia="pl-PL"/>
        </w:rPr>
        <w:t>. zawiera ramy finansowe, które określa poprzez wskazanie ogólnych kwot planowanych do zaangażowania w ramach realizacji poszczególnych celów strategicznych, a także zawiera katalog potencjalnych źródeł finansowania oraz przedstawia ich krótką charakterystykę. Ich opis w niektórych obszarach, w świetle dostępnych dokumentów programowych, jest jednak częściowo nieaktualny. Z uwagi na powyższe, sugeruje się je zweryfikować i skorygować, aby były zgodne z zakresem oficjalnie przyjętych programów perspektywy finansowej Unii Europejskiej na lata 2021-2027.</w:t>
      </w:r>
    </w:p>
    <w:p w14:paraId="2CE90B83" w14:textId="77777777" w:rsidR="000A4116" w:rsidRPr="000A4116" w:rsidRDefault="000A4116" w:rsidP="000A4116">
      <w:pPr>
        <w:spacing w:after="120" w:line="276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0A4116">
        <w:rPr>
          <w:rFonts w:ascii="Arial" w:eastAsia="Times New Roman" w:hAnsi="Arial" w:cs="Arial"/>
          <w:sz w:val="24"/>
          <w:szCs w:val="24"/>
          <w:lang w:eastAsia="pl-PL"/>
        </w:rPr>
        <w:t>Mając na uwadze powyższe ustalenia i rekomendacje, a także zakres ustawowy przedmiotowej opinii n</w:t>
      </w:r>
      <w:r w:rsidRPr="000A4116">
        <w:rPr>
          <w:rFonts w:ascii="Arial" w:eastAsia="Times New Roman" w:hAnsi="Arial" w:cs="Arial"/>
          <w:sz w:val="24"/>
          <w:szCs w:val="24"/>
        </w:rPr>
        <w:t xml:space="preserve">a podstawie art. 41 ust. 1 ustawy z dnia 5 czerwca 1998 r. </w:t>
      </w:r>
      <w:r w:rsidRPr="000A4116">
        <w:rPr>
          <w:rFonts w:ascii="Arial" w:eastAsia="Times New Roman" w:hAnsi="Arial" w:cs="Arial"/>
          <w:i/>
          <w:sz w:val="24"/>
          <w:szCs w:val="24"/>
        </w:rPr>
        <w:t>o samorządzie województwa</w:t>
      </w:r>
      <w:r w:rsidRPr="000A4116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0A4116">
        <w:rPr>
          <w:rFonts w:ascii="Arial" w:eastAsia="Times New Roman" w:hAnsi="Arial" w:cs="Arial"/>
          <w:sz w:val="24"/>
          <w:szCs w:val="24"/>
        </w:rPr>
        <w:t>t.j</w:t>
      </w:r>
      <w:proofErr w:type="spellEnd"/>
      <w:r w:rsidRPr="000A4116">
        <w:rPr>
          <w:rFonts w:ascii="Arial" w:eastAsia="Times New Roman" w:hAnsi="Arial" w:cs="Arial"/>
          <w:sz w:val="24"/>
          <w:szCs w:val="24"/>
        </w:rPr>
        <w:t xml:space="preserve">. Dz. U. z 2022 r. poz. 2094) w związku z art. 10f ust. 2 i 3 </w:t>
      </w:r>
      <w:proofErr w:type="spellStart"/>
      <w:r w:rsidRPr="000A4116">
        <w:rPr>
          <w:rFonts w:ascii="Arial" w:eastAsia="Times New Roman" w:hAnsi="Arial" w:cs="Arial"/>
          <w:sz w:val="24"/>
          <w:szCs w:val="24"/>
        </w:rPr>
        <w:t>u.s.g</w:t>
      </w:r>
      <w:proofErr w:type="spellEnd"/>
      <w:r w:rsidRPr="000A4116">
        <w:rPr>
          <w:rFonts w:ascii="Arial" w:eastAsia="Times New Roman" w:hAnsi="Arial" w:cs="Arial"/>
          <w:sz w:val="24"/>
          <w:szCs w:val="24"/>
        </w:rPr>
        <w:t xml:space="preserve">. </w:t>
      </w:r>
      <w:r w:rsidRPr="000A4116">
        <w:rPr>
          <w:rFonts w:ascii="Arial" w:eastAsia="Times New Roman" w:hAnsi="Arial" w:cs="Arial"/>
          <w:sz w:val="24"/>
          <w:szCs w:val="24"/>
          <w:lang w:eastAsia="pl-PL"/>
        </w:rPr>
        <w:t xml:space="preserve">Zarząd Województwa Podkarpackiego </w:t>
      </w:r>
      <w:r w:rsidRPr="000A4116">
        <w:rPr>
          <w:rFonts w:ascii="Arial" w:eastAsia="Times New Roman" w:hAnsi="Arial" w:cs="Arial"/>
          <w:sz w:val="24"/>
          <w:szCs w:val="24"/>
        </w:rPr>
        <w:t xml:space="preserve">postanawia negatywnie zaopiniować </w:t>
      </w:r>
      <w:r w:rsidRPr="000A4116">
        <w:rPr>
          <w:rFonts w:ascii="Arial" w:eastAsia="Times New Roman" w:hAnsi="Arial" w:cs="Arial"/>
          <w:i/>
          <w:sz w:val="24"/>
          <w:szCs w:val="24"/>
        </w:rPr>
        <w:t>Projekt Strategii Rozwoju Gminy</w:t>
      </w:r>
      <w:r w:rsidR="009B2119" w:rsidRPr="009B2119">
        <w:rPr>
          <w:rFonts w:ascii="Arial" w:eastAsia="Times New Roman" w:hAnsi="Arial" w:cs="Arial"/>
          <w:i/>
          <w:sz w:val="24"/>
          <w:szCs w:val="24"/>
        </w:rPr>
        <w:t xml:space="preserve"> Tyczyn</w:t>
      </w:r>
      <w:r w:rsidRPr="000A411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2045DB">
        <w:rPr>
          <w:rFonts w:ascii="Arial" w:eastAsia="Times New Roman" w:hAnsi="Arial" w:cs="Arial"/>
          <w:i/>
          <w:sz w:val="24"/>
          <w:szCs w:val="24"/>
        </w:rPr>
        <w:t xml:space="preserve">na lata </w:t>
      </w:r>
      <w:r w:rsidRPr="000A4116">
        <w:rPr>
          <w:rFonts w:ascii="Arial" w:eastAsia="Times New Roman" w:hAnsi="Arial" w:cs="Arial"/>
          <w:i/>
          <w:sz w:val="24"/>
          <w:szCs w:val="24"/>
        </w:rPr>
        <w:t xml:space="preserve">2022-2030 </w:t>
      </w:r>
      <w:r w:rsidRPr="000A4116">
        <w:rPr>
          <w:rFonts w:ascii="Arial" w:eastAsia="Times New Roman" w:hAnsi="Arial" w:cs="Arial"/>
          <w:iCs/>
          <w:sz w:val="24"/>
          <w:szCs w:val="24"/>
        </w:rPr>
        <w:t>w zakresie</w:t>
      </w:r>
      <w:r w:rsidRPr="000A411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A4116">
        <w:rPr>
          <w:rFonts w:ascii="Arial" w:eastAsia="Times New Roman" w:hAnsi="Arial" w:cs="Arial"/>
          <w:sz w:val="24"/>
          <w:szCs w:val="24"/>
        </w:rPr>
        <w:t xml:space="preserve">uwzględnienia w nim ustaleń i rekomendacji dotyczących kształtowania i prowadzenia polityki przestrzennej w województwie określonych w </w:t>
      </w:r>
      <w:r w:rsidRPr="000A4116">
        <w:rPr>
          <w:rFonts w:ascii="Arial" w:eastAsia="Times New Roman" w:hAnsi="Arial" w:cs="Arial"/>
          <w:i/>
          <w:sz w:val="24"/>
          <w:szCs w:val="24"/>
        </w:rPr>
        <w:t>Strategii rozwoju województwa – Podkarpackie 2030.</w:t>
      </w:r>
    </w:p>
    <w:p w14:paraId="036B5E2F" w14:textId="1625BF3D" w:rsidR="000A4116" w:rsidRPr="000A4116" w:rsidRDefault="000A4116" w:rsidP="000A4116">
      <w:pPr>
        <w:spacing w:after="0" w:line="276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0A4116">
        <w:rPr>
          <w:rFonts w:ascii="Arial" w:eastAsia="Times New Roman" w:hAnsi="Arial" w:cs="Arial"/>
          <w:iCs/>
          <w:sz w:val="24"/>
          <w:szCs w:val="24"/>
        </w:rPr>
        <w:t xml:space="preserve">Z uwagi na treść niniejszej uchwały, rekomenduje się wprowadzenie w toku dalszego procedowania </w:t>
      </w:r>
      <w:r w:rsidRPr="000A4116">
        <w:rPr>
          <w:rFonts w:ascii="Arial" w:eastAsia="Times New Roman" w:hAnsi="Arial" w:cs="Arial"/>
          <w:i/>
          <w:iCs/>
          <w:sz w:val="24"/>
          <w:szCs w:val="24"/>
        </w:rPr>
        <w:t>SRG</w:t>
      </w:r>
      <w:r w:rsidRPr="000A4116">
        <w:rPr>
          <w:rFonts w:ascii="Arial" w:eastAsia="Times New Roman" w:hAnsi="Arial" w:cs="Arial"/>
          <w:iCs/>
          <w:sz w:val="24"/>
          <w:szCs w:val="24"/>
        </w:rPr>
        <w:t xml:space="preserve"> zmian o których mowa powyżej, a następnie ponowne </w:t>
      </w:r>
      <w:r w:rsidRPr="000A4116">
        <w:rPr>
          <w:rFonts w:ascii="Arial" w:eastAsia="Times New Roman" w:hAnsi="Arial" w:cs="Arial"/>
          <w:iCs/>
          <w:sz w:val="24"/>
          <w:szCs w:val="24"/>
        </w:rPr>
        <w:lastRenderedPageBreak/>
        <w:t xml:space="preserve">przedłożenie </w:t>
      </w:r>
      <w:r w:rsidRPr="000A4116">
        <w:rPr>
          <w:rFonts w:ascii="Arial" w:eastAsia="Times New Roman" w:hAnsi="Arial" w:cs="Arial"/>
          <w:i/>
          <w:iCs/>
          <w:sz w:val="24"/>
          <w:szCs w:val="24"/>
        </w:rPr>
        <w:t xml:space="preserve">Projektu </w:t>
      </w:r>
      <w:r w:rsidRPr="009B2119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>Strategii Rozwoju Gminy</w:t>
      </w:r>
      <w:r w:rsidR="002045DB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 xml:space="preserve"> Tyczyn na lata</w:t>
      </w:r>
      <w:r w:rsidRPr="009B2119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 xml:space="preserve"> 2022-2030 </w:t>
      </w:r>
      <w:r w:rsidRPr="000A4116">
        <w:rPr>
          <w:rFonts w:ascii="Arial" w:eastAsia="Times New Roman" w:hAnsi="Arial" w:cs="Arial"/>
          <w:iCs/>
          <w:sz w:val="24"/>
          <w:szCs w:val="24"/>
        </w:rPr>
        <w:t>do opiniowania przez Zarząd Województwa Podkarpackiego.</w:t>
      </w:r>
    </w:p>
    <w:sectPr w:rsidR="000A4116" w:rsidRPr="000A4116" w:rsidSect="001E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116"/>
    <w:rsid w:val="000A4116"/>
    <w:rsid w:val="002045DB"/>
    <w:rsid w:val="004E4E3E"/>
    <w:rsid w:val="005E7335"/>
    <w:rsid w:val="0065187F"/>
    <w:rsid w:val="008F7171"/>
    <w:rsid w:val="009B2119"/>
    <w:rsid w:val="009D4115"/>
    <w:rsid w:val="00AC5AC1"/>
    <w:rsid w:val="00AD7EB6"/>
    <w:rsid w:val="00C73B44"/>
    <w:rsid w:val="00D25FC0"/>
    <w:rsid w:val="00D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CCA6"/>
  <w15:chartTrackingRefBased/>
  <w15:docId w15:val="{576CF6D5-4B4C-4769-B671-D8269DDF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1630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449_9309_23</dc:title>
  <dc:subject/>
  <dc:creator>Kiełbasa Anna</dc:creator>
  <cp:keywords/>
  <dc:description/>
  <cp:lastModifiedBy>.</cp:lastModifiedBy>
  <cp:revision>5</cp:revision>
  <cp:lastPrinted>2023-01-04T10:02:00Z</cp:lastPrinted>
  <dcterms:created xsi:type="dcterms:W3CDTF">2022-12-30T10:17:00Z</dcterms:created>
  <dcterms:modified xsi:type="dcterms:W3CDTF">2023-01-09T10:10:00Z</dcterms:modified>
</cp:coreProperties>
</file>