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69C8" w14:textId="467E61C7" w:rsidR="00CC0C22" w:rsidRPr="00CC0C22" w:rsidRDefault="00C85926" w:rsidP="00CC0C22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8592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21</w:t>
      </w:r>
      <w:r w:rsidRPr="00C8592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707E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10942</w:t>
      </w:r>
      <w:r w:rsidRPr="00C8592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8592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8592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8592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859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 września</w:t>
      </w:r>
      <w:r w:rsidRPr="00C8592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2023 r.</w:t>
      </w:r>
      <w:r w:rsidR="00CC0C22"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</w:p>
    <w:p w14:paraId="0F85CF0A" w14:textId="77777777" w:rsidR="00CC0C22" w:rsidRPr="00CC0C22" w:rsidRDefault="00CC0C22" w:rsidP="00CC0C22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 sprawie zaopiniowania projektu</w:t>
      </w:r>
      <w:r w:rsidRPr="00CC0C2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Strategii Rozwoju Ponadlokalnego </w:t>
      </w:r>
      <w:bookmarkStart w:id="0" w:name="_Hlk118879145"/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„Turystyczne Bieszczady”</w:t>
      </w:r>
      <w:r w:rsidRPr="00CC0C2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na lata 2023</w:t>
      </w:r>
      <w:r w:rsidRPr="00CC0C22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-2030</w:t>
      </w:r>
    </w:p>
    <w:bookmarkEnd w:id="0"/>
    <w:p w14:paraId="1B645AA6" w14:textId="77777777" w:rsidR="00CC0C22" w:rsidRPr="00CC0C22" w:rsidRDefault="00CC0C22" w:rsidP="00CC0C2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41 ust. 1 ustawy z dnia 5 czerwca 1998 r. </w:t>
      </w:r>
      <w:r w:rsidRPr="00CC0C2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województwa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bookmarkStart w:id="2" w:name="_Hlk97803401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z 2022 r. poz. </w:t>
      </w:r>
      <w:bookmarkStart w:id="3" w:name="_Hlk117140884"/>
      <w:bookmarkEnd w:id="2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art. 10g ust. 5 i 6 ustawy z dnia 8 marca 1990 r. </w:t>
      </w:r>
      <w:r w:rsidRPr="00CC0C2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2023 r. poz. 40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F645A1" w14:textId="77777777" w:rsidR="00CC0C22" w:rsidRPr="00CC0C22" w:rsidRDefault="00CC0C22" w:rsidP="00CC0C22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49DA1B96" w14:textId="77777777" w:rsidR="00CC0C22" w:rsidRPr="00CC0C22" w:rsidRDefault="00CC0C22" w:rsidP="00CC0C22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4F612B20" w14:textId="77777777" w:rsidR="00CC0C22" w:rsidRPr="00CC0C22" w:rsidRDefault="00CC0C22" w:rsidP="00CC0C2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bookmarkStart w:id="4" w:name="_Hlk45790122"/>
      <w:r w:rsidRPr="00CC0C2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1</w:t>
      </w:r>
    </w:p>
    <w:bookmarkEnd w:id="4"/>
    <w:p w14:paraId="5DC03819" w14:textId="77777777" w:rsidR="00CC0C22" w:rsidRPr="00CC0C22" w:rsidRDefault="00CC0C22" w:rsidP="00CC0C22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projektu </w:t>
      </w:r>
      <w:r w:rsidRPr="00CC0C2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</w:t>
      </w:r>
      <w:r w:rsidR="009E4138" w:rsidRPr="009E413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„Turystyczne Bieszczady” na lata 2023-2030</w:t>
      </w:r>
      <w:r w:rsidR="009E413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 zakresie sposobu uwzględnienia ustaleń i rekomendacji dotyczących kształtowania i prowadzenia polityki przestrzennej w województwie określonych w </w:t>
      </w:r>
      <w:r w:rsidRPr="00CC0C2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3235103E" w14:textId="77777777" w:rsidR="00CC0C22" w:rsidRPr="00CC0C22" w:rsidRDefault="00CC0C22" w:rsidP="00CC0C2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CC0C22">
        <w:rPr>
          <w:rFonts w:ascii="Arial" w:eastAsia="Times New Roman" w:hAnsi="Arial" w:cstheme="majorBidi"/>
          <w:color w:val="000000" w:themeColor="text1"/>
          <w:sz w:val="24"/>
          <w:szCs w:val="26"/>
        </w:rPr>
        <w:t>§ 2</w:t>
      </w:r>
    </w:p>
    <w:p w14:paraId="38BCE959" w14:textId="77777777" w:rsidR="00CC0C22" w:rsidRPr="00CC0C22" w:rsidRDefault="00CC0C22" w:rsidP="00CC0C2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Opinia stanowi załącznik do niniejszej Uchwały.</w:t>
      </w:r>
    </w:p>
    <w:p w14:paraId="4250D878" w14:textId="77777777" w:rsidR="00CC0C22" w:rsidRPr="00CC0C22" w:rsidRDefault="00CC0C22" w:rsidP="00CC0C2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</w:rPr>
      </w:pPr>
      <w:r w:rsidRPr="00CC0C22">
        <w:rPr>
          <w:rFonts w:ascii="Arial" w:eastAsia="Times New Roman" w:hAnsi="Arial" w:cstheme="majorBidi"/>
          <w:color w:val="000000" w:themeColor="text1"/>
          <w:sz w:val="24"/>
          <w:szCs w:val="26"/>
        </w:rPr>
        <w:t>§ 3</w:t>
      </w:r>
    </w:p>
    <w:p w14:paraId="328D44F8" w14:textId="77777777" w:rsidR="00CC0C22" w:rsidRPr="00CC0C22" w:rsidRDefault="00CC0C22" w:rsidP="00CC0C22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709B9B9B" w14:textId="77777777" w:rsidR="00CC0C22" w:rsidRPr="00CC0C22" w:rsidRDefault="00CC0C22" w:rsidP="00CC0C22">
      <w:pPr>
        <w:keepNext/>
        <w:keepLines/>
        <w:spacing w:after="0" w:line="276" w:lineRule="auto"/>
        <w:jc w:val="center"/>
        <w:outlineLvl w:val="1"/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</w:pPr>
      <w:r w:rsidRPr="00CC0C22">
        <w:rPr>
          <w:rFonts w:ascii="Arial" w:eastAsia="Times New Roman" w:hAnsi="Arial" w:cstheme="majorBidi"/>
          <w:color w:val="000000" w:themeColor="text1"/>
          <w:sz w:val="24"/>
          <w:szCs w:val="26"/>
          <w:lang w:eastAsia="pl-PL"/>
        </w:rPr>
        <w:t>§ 4</w:t>
      </w:r>
    </w:p>
    <w:p w14:paraId="1CAD8E62" w14:textId="77777777" w:rsidR="00CC0C22" w:rsidRPr="00CC0C22" w:rsidRDefault="00CC0C22" w:rsidP="00CC0C22">
      <w:pPr>
        <w:spacing w:after="120" w:line="276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</w:pPr>
      <w:r w:rsidRPr="00CC0C22">
        <w:rPr>
          <w:rFonts w:ascii="Arial" w:eastAsia="Times New Roman" w:hAnsi="Arial" w:cs="Times New Roman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66DB029A" w14:textId="77777777" w:rsidR="00CC0C22" w:rsidRDefault="00CC0C22" w:rsidP="00CC0C2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B547F1" w14:textId="77777777" w:rsidR="0064321E" w:rsidRPr="00CF7B76" w:rsidRDefault="0064321E" w:rsidP="0064321E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CF7B7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295C16A" w14:textId="77777777" w:rsidR="0064321E" w:rsidRPr="00CF7B76" w:rsidRDefault="0064321E" w:rsidP="0064321E">
      <w:pPr>
        <w:spacing w:after="0"/>
        <w:rPr>
          <w:rFonts w:ascii="Arial" w:eastAsiaTheme="minorEastAsia" w:hAnsi="Arial" w:cs="Arial"/>
        </w:rPr>
      </w:pPr>
      <w:r w:rsidRPr="00CF7B7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3373DF8A" w14:textId="77777777" w:rsidR="0064321E" w:rsidRDefault="0064321E" w:rsidP="00CC0C2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143F86F" w14:textId="77777777" w:rsidR="0064321E" w:rsidRDefault="0064321E" w:rsidP="00CC0C2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493C0FDB" w14:textId="77777777" w:rsidR="0064321E" w:rsidRPr="00CC0C22" w:rsidRDefault="0064321E" w:rsidP="00CC0C22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pl-PL"/>
        </w:rPr>
        <w:sectPr w:rsidR="0064321E" w:rsidRPr="00CC0C22" w:rsidSect="00113C0F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615ECF" w14:textId="42401853" w:rsidR="00C85926" w:rsidRPr="00C85926" w:rsidRDefault="00C85926" w:rsidP="00C8592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7711470"/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21</w:t>
      </w: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707E58">
        <w:rPr>
          <w:rFonts w:ascii="Arial" w:eastAsia="Times New Roman" w:hAnsi="Arial" w:cs="Arial"/>
          <w:bCs/>
          <w:sz w:val="24"/>
          <w:szCs w:val="24"/>
          <w:lang w:eastAsia="pl-PL"/>
        </w:rPr>
        <w:t>10942</w:t>
      </w: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E7EDBFA" w14:textId="77777777" w:rsidR="00C85926" w:rsidRPr="00C85926" w:rsidRDefault="00C85926" w:rsidP="00C8592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43C9E92D" w14:textId="77777777" w:rsidR="00C85926" w:rsidRPr="00C85926" w:rsidRDefault="00C85926" w:rsidP="00C8592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40337A5" w14:textId="00548476" w:rsidR="00C85926" w:rsidRDefault="00C85926" w:rsidP="00C8592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 września</w:t>
      </w: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C85926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C85926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1B5CC132" w14:textId="77777777" w:rsidR="00C85926" w:rsidRPr="00C85926" w:rsidRDefault="00C85926" w:rsidP="00C85926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bookmarkEnd w:id="6"/>
    <w:p w14:paraId="4A58A057" w14:textId="77777777" w:rsidR="00CC0C22" w:rsidRPr="00CC0C22" w:rsidRDefault="00CC0C22" w:rsidP="00CC0C22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Opinia o spójności dokumentu ze </w:t>
      </w:r>
      <w:r w:rsidRPr="00CC0C22">
        <w:rPr>
          <w:rFonts w:ascii="Arial" w:eastAsia="Times New Roman" w:hAnsi="Arial" w:cs="Arial"/>
          <w:b/>
          <w:i/>
          <w:sz w:val="24"/>
          <w:szCs w:val="24"/>
          <w:lang w:eastAsia="pl-PL"/>
        </w:rPr>
        <w:t>Strategią rozwoju województwa – Podkarpackie 2030</w:t>
      </w:r>
      <w:r w:rsidRPr="00CC0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zakresie sposobu uwzględnienia w nim ustaleń i rekomendacji dotyczących kształtowania i prowadzenia polityki przestrzennej w województwie.</w:t>
      </w:r>
    </w:p>
    <w:p w14:paraId="450BF6A2" w14:textId="77777777" w:rsidR="00CC0C22" w:rsidRPr="00CC0C22" w:rsidRDefault="00CC0C22" w:rsidP="00CC0C2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Zgodnie z art. 10g ust. 5 i 6 ustawy z dnia 8 marca 1990 r. </w:t>
      </w:r>
      <w:r w:rsidRPr="00CC0C2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o samorządzie gminnym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(</w:t>
      </w:r>
      <w:proofErr w:type="spellStart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t.j</w:t>
      </w:r>
      <w:proofErr w:type="spellEnd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. Dz. U. z 2023 r. poz. 40</w:t>
      </w:r>
      <w:r w:rsidR="00DC2FC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ze zm.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, dalej </w:t>
      </w:r>
      <w:proofErr w:type="spellStart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.) </w:t>
      </w:r>
      <w:bookmarkStart w:id="7" w:name="_Hlk98835338"/>
      <w:bookmarkStart w:id="8" w:name="_Hlk97803195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projekt strategii rozwoju ponadlokalnego opracowuje odpowiednio wójt albo starosta wskazany w</w:t>
      </w:r>
      <w:r w:rsidR="002E5E5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 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porozumieniu międzygminnym, organ wykonawczy związku międzygminnego albo stowarzyszenia oraz przedkłada go zarządowi województwa w celu wydania opinii dotyczącej sposobu uwzględnienia ustaleń i rekomendacji w zakresie kształtowania i</w:t>
      </w:r>
      <w:r w:rsidR="002E5E58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 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prowadzenia polityki przestrzennej w województwie określonych w strategii rozwoju województwa.</w:t>
      </w:r>
    </w:p>
    <w:p w14:paraId="77017433" w14:textId="77777777" w:rsidR="00CC0C22" w:rsidRPr="00CC0C22" w:rsidRDefault="00CC0C22" w:rsidP="00CC0C2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W terminie 30 dni od dnia otrzymania projektu strategii rozwoju ponadlokalnego zarząd województwa wydaje opinię w niniejszym zakresie. Brak wydania opinii w tym terminie oznacza przyjęcie, że przedłożona do opiniowania strategia rozwoju ponadlokalnego jest spójna ze strategią rozwoju województwa.</w:t>
      </w:r>
    </w:p>
    <w:p w14:paraId="0DD3B015" w14:textId="77777777" w:rsidR="00CC0C22" w:rsidRPr="00CC0C22" w:rsidRDefault="00CC0C22" w:rsidP="00CC0C2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bookmarkStart w:id="9" w:name="_Hlk118885537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W dniu </w:t>
      </w:r>
      <w:r w:rsidR="00DC2FC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7 sierpnia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 do Urzędu Marszałkowskiego Województwa Podkarpackiego wpłynął wniosek z dnia </w:t>
      </w:r>
      <w:r w:rsidR="00DC2FC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3 sierpnia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2023 r.</w:t>
      </w:r>
      <w:r w:rsidR="00DC2FC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,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Pan</w:t>
      </w:r>
      <w:r w:rsidR="00DC2FC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i Renaty Szczepańskiej 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– </w:t>
      </w:r>
      <w:r w:rsidR="00DC2FC4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Lidera Porozumienia „Turystyczne Bieszczady” Wójta Gminy Cisna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o zaopiniowanie w myśl art. 10g ust. 5 </w:t>
      </w:r>
      <w:proofErr w:type="spellStart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u.s.g</w:t>
      </w:r>
      <w:proofErr w:type="spellEnd"/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. projektu </w:t>
      </w:r>
      <w:r w:rsidR="00DC2FC4" w:rsidRPr="00CC0C2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Ponadlokalnego </w:t>
      </w:r>
      <w:r w:rsidR="00DC2FC4" w:rsidRPr="009E413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„Turystyczne Bieszczady” na lata 2023-2030</w:t>
      </w:r>
      <w:r w:rsidR="00DC2FC4"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(SRP).</w:t>
      </w:r>
    </w:p>
    <w:p w14:paraId="0D16CA4F" w14:textId="77777777" w:rsidR="00CC0C22" w:rsidRPr="00CC0C22" w:rsidRDefault="00DC2FC4" w:rsidP="00CC0C22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Porozumienie </w:t>
      </w:r>
      <w:r w:rsidR="00CC0C22"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„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Turystyczne Bieszczady</w:t>
      </w:r>
      <w:r w:rsidR="00CC0C22"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>”</w:t>
      </w:r>
      <w:bookmarkEnd w:id="7"/>
      <w:bookmarkEnd w:id="8"/>
      <w:bookmarkEnd w:id="9"/>
      <w:r w:rsidR="00CC0C22" w:rsidRPr="00CC0C22"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 tworzą gminy: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  <w:t xml:space="preserve">Baligród, Cisna, Komańcza, Olszanica i Solina. </w:t>
      </w:r>
    </w:p>
    <w:p w14:paraId="3E5BE069" w14:textId="77777777" w:rsidR="00CC0C22" w:rsidRPr="00CC0C22" w:rsidRDefault="00CC0C22" w:rsidP="00CC0C22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sz w:val="24"/>
          <w:szCs w:val="24"/>
          <w:lang w:eastAsia="pl-PL"/>
        </w:rPr>
        <w:t>Przeprowadzona analiza wykazała, że zakres przedstawionego projektu</w:t>
      </w:r>
      <w:r w:rsidRPr="00CC0C2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DC2FC4" w:rsidRPr="00DC2FC4">
        <w:rPr>
          <w:rFonts w:ascii="Arial" w:eastAsia="Times New Roman" w:hAnsi="Arial" w:cs="Arial"/>
          <w:i/>
          <w:sz w:val="24"/>
          <w:szCs w:val="24"/>
          <w:lang w:eastAsia="pl-PL"/>
        </w:rPr>
        <w:t>Strategii Rozwoju Ponadlokalnego „Turystyczne Bieszczady” na lata 2023-2030</w:t>
      </w:r>
      <w:r w:rsidR="00DC2F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C0C22">
        <w:rPr>
          <w:rFonts w:ascii="Arial" w:eastAsia="Times New Roman" w:hAnsi="Arial" w:cs="Arial"/>
          <w:sz w:val="24"/>
          <w:szCs w:val="24"/>
          <w:lang w:eastAsia="pl-PL"/>
        </w:rPr>
        <w:t xml:space="preserve">mieści się w horyzoncie czasowym przyjętym w </w:t>
      </w:r>
      <w:r w:rsidRPr="00CC0C2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Strategii rozwoju województwa – Podkarpackie 2030 </w:t>
      </w:r>
      <w:r w:rsidRPr="00CC0C2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C0C2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CC0C22">
        <w:rPr>
          <w:rFonts w:ascii="Arial" w:eastAsia="Times New Roman" w:hAnsi="Arial" w:cs="Arial"/>
          <w:sz w:val="24"/>
          <w:szCs w:val="24"/>
          <w:lang w:eastAsia="pl-PL"/>
        </w:rPr>
        <w:t xml:space="preserve">). Wyznaczone w nim cele strategiczne, a także cele operacyjne wraz z wymienionymi w ich ramach kierunkami działań wpisują się w zapisy </w:t>
      </w:r>
      <w:r w:rsidRPr="00CC0C22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CC0C22">
        <w:rPr>
          <w:rFonts w:ascii="Arial" w:eastAsia="Times New Roman" w:hAnsi="Arial" w:cs="Arial"/>
          <w:sz w:val="24"/>
          <w:szCs w:val="24"/>
          <w:lang w:eastAsia="pl-PL"/>
        </w:rPr>
        <w:t>. W szczególności można przypisać je w sposób bezpośredni lub pośredni m.in. w niżej wymienione obszary tematyczne i priorytety.</w:t>
      </w:r>
    </w:p>
    <w:p w14:paraId="65BD0052" w14:textId="77777777" w:rsidR="00CC0C22" w:rsidRPr="00CC0C22" w:rsidRDefault="00CC0C22" w:rsidP="00CC0C2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1EC24460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1DC5D0A6" w14:textId="77777777" w:rsidR="00CC0C22" w:rsidRPr="00CC0C22" w:rsidRDefault="0048142C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 Priorytet wpisuje się cel strategiczny 1 </w:t>
      </w:r>
      <w:r w:rsidR="00CC0C22"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48E22581" w14:textId="77777777" w:rsidR="002E5E58" w:rsidRDefault="002E5E58" w:rsidP="00CC0C2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6C59E5B" w14:textId="77777777" w:rsidR="00CC0C22" w:rsidRPr="00CC0C22" w:rsidRDefault="00CC0C22" w:rsidP="00CC0C2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b/>
          <w:color w:val="000000" w:themeColor="text1"/>
          <w:sz w:val="24"/>
          <w:szCs w:val="24"/>
        </w:rPr>
        <w:t>OBSZAR TEMATYCZNY 2. KAPITAŁ LUDZKI I SPOŁECZNY</w:t>
      </w:r>
    </w:p>
    <w:p w14:paraId="0658D065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2.1. Edukacja</w:t>
      </w:r>
    </w:p>
    <w:p w14:paraId="183F632C" w14:textId="77777777" w:rsidR="00CC0C22" w:rsidRPr="00CC0C22" w:rsidRDefault="00CC0C22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>cel strategiczny 3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 SRP.</w:t>
      </w:r>
    </w:p>
    <w:p w14:paraId="52CC5677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2.2. Regionalna polityka zdrowotna</w:t>
      </w:r>
    </w:p>
    <w:p w14:paraId="041DF803" w14:textId="77777777" w:rsidR="00CC0C22" w:rsidRPr="00CC0C22" w:rsidRDefault="00CC0C22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cel strategiczny 3 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0CC04A55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2.3. Kultura i dziedzictwo kulturowe</w:t>
      </w:r>
    </w:p>
    <w:p w14:paraId="47F05E0B" w14:textId="77777777" w:rsidR="00CC0C22" w:rsidRPr="00CC0C22" w:rsidRDefault="0048142C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_Hlk124152391"/>
      <w:r>
        <w:rPr>
          <w:rFonts w:ascii="Arial" w:hAnsi="Arial" w:cs="Arial"/>
          <w:color w:val="000000" w:themeColor="text1"/>
          <w:sz w:val="24"/>
          <w:szCs w:val="24"/>
        </w:rPr>
        <w:t>W Priorytet wpisuje</w:t>
      </w:r>
      <w:r w:rsidR="00CC0C22" w:rsidRPr="00CC0C22">
        <w:rPr>
          <w:rFonts w:ascii="Arial" w:hAnsi="Arial" w:cs="Arial"/>
          <w:color w:val="000000" w:themeColor="text1"/>
          <w:sz w:val="24"/>
          <w:szCs w:val="24"/>
        </w:rPr>
        <w:t xml:space="preserve"> się</w:t>
      </w:r>
      <w:r w:rsidRPr="004814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cel strategiczny</w:t>
      </w:r>
      <w:r w:rsidR="00CC0C22" w:rsidRPr="00CC0C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CC0C22"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bookmarkEnd w:id="10"/>
    <w:p w14:paraId="6B54AA8E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2A1FEC45" w14:textId="77777777" w:rsidR="00CC0C22" w:rsidRPr="00CC0C22" w:rsidRDefault="00CC0C22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W P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riorytet wpisuje 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się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>cel strategiczny 1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 SRP.</w:t>
      </w:r>
    </w:p>
    <w:p w14:paraId="25B7CF16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2.7. Aktywny styl życia i sport</w:t>
      </w:r>
    </w:p>
    <w:p w14:paraId="1790456D" w14:textId="77777777" w:rsidR="00CC0C22" w:rsidRPr="00CC0C22" w:rsidRDefault="00CC0C22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W Priorytet wpisuj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>e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cel strategiczny 3 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14C4368D" w14:textId="77777777" w:rsidR="00CC0C22" w:rsidRPr="00CC0C22" w:rsidRDefault="00CC0C22" w:rsidP="0048142C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466D6B6E" w14:textId="77777777" w:rsidR="0048142C" w:rsidRPr="00CC0C22" w:rsidRDefault="0048142C" w:rsidP="0048142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Priorytet 3.1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8142C">
        <w:rPr>
          <w:rFonts w:ascii="Arial" w:hAnsi="Arial" w:cs="Arial"/>
          <w:color w:val="000000" w:themeColor="text1"/>
          <w:sz w:val="24"/>
          <w:szCs w:val="24"/>
        </w:rPr>
        <w:t>Bezpieczeństwo energetyczne i OZE</w:t>
      </w:r>
    </w:p>
    <w:p w14:paraId="6EBF3B3E" w14:textId="77777777" w:rsidR="0048142C" w:rsidRDefault="002E5E58" w:rsidP="0048142C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Priorytet wpisuje</w:t>
      </w:r>
      <w:r w:rsidR="0048142C" w:rsidRPr="00CC0C22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cel strategiczny 2 </w:t>
      </w:r>
      <w:r w:rsidR="0048142C"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3950A306" w14:textId="77777777" w:rsidR="0048142C" w:rsidRPr="00CC0C22" w:rsidRDefault="0048142C" w:rsidP="0048142C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Priorytet 3.3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48142C">
        <w:rPr>
          <w:rFonts w:ascii="Arial" w:hAnsi="Arial" w:cs="Arial"/>
          <w:color w:val="000000" w:themeColor="text1"/>
          <w:sz w:val="24"/>
          <w:szCs w:val="24"/>
        </w:rPr>
        <w:t>Poprawa dostępności komunikacyjnej wewnątrz regionu oraz rozwój transportu publicznego</w:t>
      </w:r>
    </w:p>
    <w:p w14:paraId="658AED6D" w14:textId="77777777" w:rsidR="0048142C" w:rsidRDefault="002E5E58" w:rsidP="0048142C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Priorytet wpisuje</w:t>
      </w:r>
      <w:r w:rsidR="0048142C" w:rsidRPr="00CC0C22">
        <w:rPr>
          <w:rFonts w:ascii="Arial" w:hAnsi="Arial" w:cs="Arial"/>
          <w:color w:val="000000" w:themeColor="text1"/>
          <w:sz w:val="24"/>
          <w:szCs w:val="24"/>
        </w:rPr>
        <w:t xml:space="preserve"> się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 cel strategiczny</w:t>
      </w:r>
      <w:r w:rsidR="0048142C" w:rsidRPr="00CC0C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="0048142C"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1DC35D0B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6AD53ECB" w14:textId="77777777" w:rsidR="00CC0C22" w:rsidRPr="00CC0C22" w:rsidRDefault="002E5E58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_Hlk117161701"/>
      <w:r>
        <w:rPr>
          <w:rFonts w:ascii="Arial" w:hAnsi="Arial" w:cs="Arial"/>
          <w:color w:val="000000" w:themeColor="text1"/>
          <w:sz w:val="24"/>
          <w:szCs w:val="24"/>
        </w:rPr>
        <w:t>W Priorytet wpisuje</w:t>
      </w:r>
      <w:r w:rsidR="00CC0C22" w:rsidRPr="00CC0C22">
        <w:rPr>
          <w:rFonts w:ascii="Arial" w:hAnsi="Arial" w:cs="Arial"/>
          <w:color w:val="000000" w:themeColor="text1"/>
          <w:sz w:val="24"/>
          <w:szCs w:val="24"/>
        </w:rPr>
        <w:t xml:space="preserve"> się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cel strategiczny 1 </w:t>
      </w:r>
      <w:r w:rsidR="00CC0C22"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bookmarkEnd w:id="11"/>
    <w:p w14:paraId="11D6DCBF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7ADF4D8C" w14:textId="77777777" w:rsidR="00CC0C22" w:rsidRPr="00CC0C22" w:rsidRDefault="00CC0C22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</w:t>
      </w:r>
      <w:r w:rsidR="002E5E58">
        <w:rPr>
          <w:rFonts w:ascii="Arial" w:hAnsi="Arial" w:cs="Arial"/>
          <w:color w:val="000000" w:themeColor="text1"/>
          <w:sz w:val="24"/>
          <w:szCs w:val="24"/>
        </w:rPr>
        <w:t xml:space="preserve">cel strategiczny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63AEDC9B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4652241D" w14:textId="77777777" w:rsidR="00CC0C22" w:rsidRPr="00CC0C22" w:rsidRDefault="00CC0C22" w:rsidP="00CC0C22">
      <w:pPr>
        <w:spacing w:after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 xml:space="preserve">W Priorytet wpisuje się </w:t>
      </w:r>
      <w:r w:rsidR="002E5E58">
        <w:rPr>
          <w:rFonts w:ascii="Arial" w:hAnsi="Arial" w:cs="Arial"/>
          <w:color w:val="000000" w:themeColor="text1"/>
          <w:sz w:val="24"/>
          <w:szCs w:val="24"/>
        </w:rPr>
        <w:t xml:space="preserve">cel strategiczny </w:t>
      </w:r>
      <w:r w:rsidR="0048142C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CC0C22">
        <w:rPr>
          <w:rFonts w:ascii="Arial" w:hAnsi="Arial" w:cs="Arial"/>
          <w:color w:val="000000" w:themeColor="text1"/>
          <w:sz w:val="24"/>
          <w:szCs w:val="24"/>
        </w:rPr>
        <w:t>SRP.</w:t>
      </w:r>
    </w:p>
    <w:p w14:paraId="58404566" w14:textId="77777777" w:rsidR="00CC0C22" w:rsidRPr="00CC0C22" w:rsidRDefault="00CC0C22" w:rsidP="00CC0C22">
      <w:pPr>
        <w:spacing w:before="240" w:after="24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34B3443B" w14:textId="77777777" w:rsidR="00CC0C22" w:rsidRPr="00CC0C22" w:rsidRDefault="00CC0C22" w:rsidP="00CC0C22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7.3. Obszary wymagające szczególnego wsparcia w kontekście równoważenia rozwoju</w:t>
      </w:r>
    </w:p>
    <w:p w14:paraId="5C4D4DAB" w14:textId="77777777" w:rsidR="00CC0C22" w:rsidRPr="00CC0C22" w:rsidRDefault="00CC0C22" w:rsidP="00CC0C22">
      <w:pPr>
        <w:spacing w:after="24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C22">
        <w:rPr>
          <w:rFonts w:ascii="Arial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1CA988D7" w14:textId="77777777" w:rsidR="009850D0" w:rsidRPr="00CC0C22" w:rsidRDefault="00CC0C22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SRP została zweryfikowana zgodnie z zakresem wskazanym w art. 10g ust. 5 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z punktu widzenia elementów o których mowa w art. 10g ust. 3 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 myśl bowiem art. 10e ust. 3 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strategia rozwoju 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powinna zawierać m.in. wnioski z diagnozy, cele strategiczne rozwoju w wymiarze społecznym, gospodarczym i przestrzennym, kierunki działań podejmowanych dla osiągnięcia celów strategicznych, oczekiwane rezultaty planowanych działań, w tym w wymiarze przestrzennym, oraz wskaźniki ich osiągnięcia, model struktury funkcjonalno-przestrzennej, ustalenia i rekomendacje w zakresie kształtowania i prowadzenia polityki przestrzennej w gminie, obszary strategicznej interwencji (OSI) określone w strategii rozwoju województwa wraz z 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Poza wersją tekstową zawierającą ww. elementy, SRP powinna przedstawiać również w formie graficznej model struktury funkcjonalno-przestrzennej, a także OSI regionalne i lokalne wraz z planowanymi w ich ramach działaniami (art. 10e ust. 4 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.).</w:t>
      </w:r>
      <w:r w:rsidR="009850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850D0" w:rsidRPr="009850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Przedłożony dokument zawiera wskazane elementy.</w:t>
      </w:r>
    </w:p>
    <w:p w14:paraId="2EF37347" w14:textId="77777777" w:rsidR="00CC0C22" w:rsidRPr="00CC0C22" w:rsidRDefault="00CC0C22" w:rsidP="002E5E58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</w:rPr>
      </w:pP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powyższe ustalenia i rekomendacje, a także zakres ustawowy przedmiotowej opinii na podstawie art. 41 ust. 1 ustawy z dnia 5 czerwca 1998 r. o samorządzie województwa (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Dz. U. z 2022 r. poz. 2094</w:t>
      </w:r>
      <w:r w:rsidR="002E5E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 zm.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w związku z art. 10g ust. 5 i 6 </w:t>
      </w:r>
      <w:proofErr w:type="spellStart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Zarząd Województwa Podkarpackiego postanawia pozytywnie zaopiniować projekt </w:t>
      </w:r>
      <w:r w:rsidR="002E5E58" w:rsidRPr="002E5E58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</w:rPr>
        <w:t>Strategii Rozwoju Ponadlokalnego „Turystyczne Bieszczady” na lata 2023-2030</w:t>
      </w:r>
      <w:r w:rsidRPr="00CC0C2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uwzględnienia w nim ustaleń i rekomendacji dotyczących kształtowania i prowadzenia polityki przestrzennej w województwie określonych w Strategii rozwoju województwa – Podkarpackie 2030.</w:t>
      </w:r>
    </w:p>
    <w:p w14:paraId="4C9A3618" w14:textId="77777777" w:rsidR="00CC0C22" w:rsidRPr="00CC0C22" w:rsidRDefault="00CC0C22" w:rsidP="00CC0C22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31A259D" w14:textId="77777777" w:rsidR="00CC0C22" w:rsidRDefault="00CC0C22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D21CB48" w14:textId="77777777" w:rsidR="0080221D" w:rsidRDefault="0080221D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4805B6E" w14:textId="77777777" w:rsidR="0080221D" w:rsidRDefault="0080221D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B404F5F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31C321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917BE19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EE4C1B1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8E75979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E605D4E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1E87E30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F3DACDC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C1D6153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E2B58C2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FF8FFBD" w14:textId="77777777" w:rsidR="002E5E58" w:rsidRDefault="002E5E58" w:rsidP="00CC0C22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2E5E58" w:rsidSect="00113C0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A79A" w14:textId="77777777" w:rsidR="0048142C" w:rsidRDefault="0048142C" w:rsidP="0048142C">
      <w:pPr>
        <w:spacing w:after="0" w:line="240" w:lineRule="auto"/>
      </w:pPr>
      <w:r>
        <w:separator/>
      </w:r>
    </w:p>
  </w:endnote>
  <w:endnote w:type="continuationSeparator" w:id="0">
    <w:p w14:paraId="183E5426" w14:textId="77777777" w:rsidR="0048142C" w:rsidRDefault="0048142C" w:rsidP="0048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FB65" w14:textId="77777777" w:rsidR="00C85926" w:rsidRDefault="00C85926">
    <w:pPr>
      <w:pStyle w:val="Stopka"/>
      <w:jc w:val="right"/>
    </w:pPr>
  </w:p>
  <w:p w14:paraId="23293DD1" w14:textId="77777777" w:rsidR="00C85926" w:rsidRDefault="00C85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134E" w14:textId="77777777" w:rsidR="0048142C" w:rsidRDefault="0048142C" w:rsidP="0048142C">
      <w:pPr>
        <w:spacing w:after="0" w:line="240" w:lineRule="auto"/>
      </w:pPr>
      <w:r>
        <w:separator/>
      </w:r>
    </w:p>
  </w:footnote>
  <w:footnote w:type="continuationSeparator" w:id="0">
    <w:p w14:paraId="37CD1551" w14:textId="77777777" w:rsidR="0048142C" w:rsidRDefault="0048142C" w:rsidP="0048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22"/>
    <w:rsid w:val="002E5E58"/>
    <w:rsid w:val="0048142C"/>
    <w:rsid w:val="00586A9B"/>
    <w:rsid w:val="0064321E"/>
    <w:rsid w:val="00707E58"/>
    <w:rsid w:val="0080221D"/>
    <w:rsid w:val="0085761C"/>
    <w:rsid w:val="009850D0"/>
    <w:rsid w:val="009E4138"/>
    <w:rsid w:val="00C85926"/>
    <w:rsid w:val="00CB7C56"/>
    <w:rsid w:val="00CC0C22"/>
    <w:rsid w:val="00D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E522"/>
  <w15:chartTrackingRefBased/>
  <w15:docId w15:val="{7476B3BB-0A26-4203-926F-C1ECEE2B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C0C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C0C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521_10942_23</dc:title>
  <dc:subject/>
  <dc:creator>Surmacz Paulina</dc:creator>
  <cp:keywords/>
  <dc:description/>
  <cp:lastModifiedBy>.</cp:lastModifiedBy>
  <cp:revision>6</cp:revision>
  <cp:lastPrinted>2023-09-04T06:55:00Z</cp:lastPrinted>
  <dcterms:created xsi:type="dcterms:W3CDTF">2023-08-31T07:16:00Z</dcterms:created>
  <dcterms:modified xsi:type="dcterms:W3CDTF">2023-09-11T11:03:00Z</dcterms:modified>
</cp:coreProperties>
</file>