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17A0" w14:textId="613754EF" w:rsidR="006A2933" w:rsidRDefault="00301516" w:rsidP="006A2933">
      <w:pPr>
        <w:spacing w:after="0" w:line="240" w:lineRule="auto"/>
        <w:jc w:val="center"/>
        <w:rPr>
          <w:rFonts w:ascii="Arial" w:eastAsia="Times New Roman" w:hAnsi="Arial" w:cs="Arial"/>
          <w:color w:val="000000"/>
          <w:sz w:val="24"/>
          <w:szCs w:val="24"/>
          <w:lang w:eastAsia="pl-PL"/>
        </w:rPr>
      </w:pPr>
      <w:bookmarkStart w:id="0" w:name="_Hlk149044235"/>
      <w:bookmarkStart w:id="1" w:name="_Hlk120479071"/>
      <w:r w:rsidRPr="00301516">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50</w:t>
      </w:r>
      <w:r w:rsidRPr="00301516">
        <w:rPr>
          <w:rFonts w:ascii="Arial" w:eastAsia="Times New Roman" w:hAnsi="Arial" w:cs="Arial"/>
          <w:b/>
          <w:color w:val="000000"/>
          <w:sz w:val="24"/>
          <w:szCs w:val="24"/>
          <w:lang w:eastAsia="pl-PL"/>
        </w:rPr>
        <w:t>/</w:t>
      </w:r>
      <w:r w:rsidR="00FA0C2D">
        <w:rPr>
          <w:rFonts w:ascii="Arial" w:eastAsia="Times New Roman" w:hAnsi="Arial" w:cs="Arial"/>
          <w:b/>
          <w:color w:val="000000"/>
          <w:sz w:val="24"/>
          <w:szCs w:val="24"/>
          <w:lang w:eastAsia="pl-PL"/>
        </w:rPr>
        <w:t>11652</w:t>
      </w:r>
      <w:r w:rsidRPr="00301516">
        <w:rPr>
          <w:rFonts w:ascii="Arial" w:eastAsia="Times New Roman" w:hAnsi="Arial" w:cs="Arial"/>
          <w:b/>
          <w:color w:val="000000"/>
          <w:sz w:val="24"/>
          <w:szCs w:val="24"/>
          <w:lang w:eastAsia="pl-PL"/>
        </w:rPr>
        <w:t>/23</w:t>
      </w:r>
      <w:r w:rsidRPr="00301516">
        <w:rPr>
          <w:rFonts w:ascii="Arial" w:eastAsia="Times New Roman" w:hAnsi="Arial" w:cs="Arial"/>
          <w:b/>
          <w:color w:val="000000"/>
          <w:sz w:val="24"/>
          <w:szCs w:val="24"/>
          <w:lang w:eastAsia="pl-PL"/>
        </w:rPr>
        <w:br/>
        <w:t>ZARZĄDU WOJEWÓDZTWA PODKARPACKIEGO</w:t>
      </w:r>
      <w:r w:rsidRPr="00301516">
        <w:rPr>
          <w:rFonts w:ascii="Arial" w:eastAsia="Times New Roman" w:hAnsi="Arial" w:cs="Arial"/>
          <w:b/>
          <w:color w:val="000000"/>
          <w:sz w:val="24"/>
          <w:szCs w:val="24"/>
          <w:lang w:eastAsia="pl-PL"/>
        </w:rPr>
        <w:br/>
        <w:t>w RZESZOWIE</w:t>
      </w:r>
      <w:r w:rsidRPr="00301516">
        <w:rPr>
          <w:rFonts w:ascii="Arial" w:eastAsia="Times New Roman" w:hAnsi="Arial" w:cs="Arial"/>
          <w:b/>
          <w:color w:val="000000"/>
          <w:sz w:val="24"/>
          <w:szCs w:val="24"/>
          <w:lang w:eastAsia="pl-PL"/>
        </w:rPr>
        <w:br/>
      </w:r>
      <w:r w:rsidRPr="00301516">
        <w:rPr>
          <w:rFonts w:ascii="Arial" w:eastAsia="Times New Roman" w:hAnsi="Arial" w:cs="Arial"/>
          <w:color w:val="000000"/>
          <w:sz w:val="24"/>
          <w:szCs w:val="24"/>
          <w:lang w:eastAsia="pl-PL"/>
        </w:rPr>
        <w:t xml:space="preserve">z dnia </w:t>
      </w:r>
      <w:r>
        <w:rPr>
          <w:rFonts w:ascii="Arial" w:eastAsia="Times New Roman" w:hAnsi="Arial" w:cs="Arial"/>
          <w:color w:val="000000"/>
          <w:sz w:val="24"/>
          <w:szCs w:val="24"/>
          <w:lang w:eastAsia="pl-PL"/>
        </w:rPr>
        <w:t xml:space="preserve">19 grudnia </w:t>
      </w:r>
      <w:r w:rsidRPr="00301516">
        <w:rPr>
          <w:rFonts w:ascii="Arial" w:eastAsia="Times New Roman" w:hAnsi="Arial" w:cs="Arial"/>
          <w:color w:val="000000"/>
          <w:sz w:val="24"/>
          <w:szCs w:val="24"/>
          <w:lang w:eastAsia="pl-PL"/>
        </w:rPr>
        <w:t>2023 r.</w:t>
      </w:r>
      <w:bookmarkEnd w:id="0"/>
    </w:p>
    <w:p w14:paraId="69019DE2" w14:textId="77777777" w:rsidR="00301516" w:rsidRPr="006A2933" w:rsidRDefault="00301516" w:rsidP="006A2933">
      <w:pPr>
        <w:spacing w:after="0" w:line="240" w:lineRule="auto"/>
        <w:jc w:val="center"/>
        <w:rPr>
          <w:rFonts w:ascii="Arial" w:eastAsia="Times New Roman" w:hAnsi="Arial" w:cs="Times New Roman"/>
          <w:sz w:val="24"/>
          <w:szCs w:val="24"/>
          <w:lang w:eastAsia="pl-PL"/>
        </w:rPr>
      </w:pPr>
    </w:p>
    <w:p w14:paraId="4852F9A9" w14:textId="22C2308A" w:rsidR="003E2662" w:rsidRPr="00321871" w:rsidRDefault="003E2662" w:rsidP="00331F2F">
      <w:pPr>
        <w:pStyle w:val="Tekstpodstawowy3"/>
        <w:tabs>
          <w:tab w:val="left" w:pos="284"/>
        </w:tabs>
        <w:spacing w:after="360" w:line="240" w:lineRule="auto"/>
        <w:ind w:left="284"/>
        <w:jc w:val="center"/>
        <w:rPr>
          <w:rFonts w:ascii="Arial" w:eastAsia="Times New Roman" w:hAnsi="Arial" w:cs="Arial"/>
          <w:b/>
          <w:bCs/>
          <w:color w:val="000000" w:themeColor="text1"/>
          <w:sz w:val="24"/>
          <w:szCs w:val="24"/>
          <w:lang w:eastAsia="pl-PL"/>
        </w:rPr>
      </w:pPr>
      <w:r w:rsidRPr="00321871">
        <w:rPr>
          <w:rFonts w:ascii="Arial" w:eastAsia="Times New Roman" w:hAnsi="Arial" w:cs="Arial"/>
          <w:b/>
          <w:bCs/>
          <w:color w:val="000000" w:themeColor="text1"/>
          <w:sz w:val="24"/>
          <w:szCs w:val="24"/>
          <w:lang w:eastAsia="pl-PL"/>
        </w:rPr>
        <w:t xml:space="preserve">w sprawie oceny sytuacji ekonomiczno-finansowej </w:t>
      </w:r>
      <w:r w:rsidRPr="00321871">
        <w:rPr>
          <w:rFonts w:ascii="Arial" w:eastAsia="Times New Roman" w:hAnsi="Arial" w:cs="Arial"/>
          <w:b/>
          <w:color w:val="000000" w:themeColor="text1"/>
          <w:sz w:val="24"/>
          <w:szCs w:val="24"/>
          <w:lang w:eastAsia="pl-PL"/>
        </w:rPr>
        <w:t>samodzielnych publicznych zakładów opieki zdrowotnej</w:t>
      </w:r>
      <w:r w:rsidR="00151421" w:rsidRPr="00321871">
        <w:rPr>
          <w:rFonts w:ascii="Arial" w:eastAsia="Times New Roman" w:hAnsi="Arial" w:cs="Arial"/>
          <w:b/>
          <w:bCs/>
          <w:color w:val="000000" w:themeColor="text1"/>
          <w:sz w:val="24"/>
          <w:szCs w:val="24"/>
          <w:lang w:eastAsia="pl-PL"/>
        </w:rPr>
        <w:t xml:space="preserve"> za 202</w:t>
      </w:r>
      <w:r w:rsidR="00484FD6">
        <w:rPr>
          <w:rFonts w:ascii="Arial" w:eastAsia="Times New Roman" w:hAnsi="Arial" w:cs="Arial"/>
          <w:b/>
          <w:bCs/>
          <w:color w:val="000000" w:themeColor="text1"/>
          <w:sz w:val="24"/>
          <w:szCs w:val="24"/>
          <w:lang w:eastAsia="pl-PL"/>
        </w:rPr>
        <w:t>2</w:t>
      </w:r>
      <w:r w:rsidRPr="00321871">
        <w:rPr>
          <w:rFonts w:ascii="Arial" w:eastAsia="Times New Roman" w:hAnsi="Arial" w:cs="Arial"/>
          <w:b/>
          <w:bCs/>
          <w:color w:val="000000" w:themeColor="text1"/>
          <w:sz w:val="24"/>
          <w:szCs w:val="24"/>
          <w:lang w:eastAsia="pl-PL"/>
        </w:rPr>
        <w:t xml:space="preserve"> rok, dla których Samorząd Województwa Podkarpackiego jest organem tworzącym</w:t>
      </w:r>
      <w:r w:rsidR="00FA0C2D">
        <w:rPr>
          <w:rFonts w:ascii="Arial" w:eastAsia="Times New Roman" w:hAnsi="Arial" w:cs="Arial"/>
          <w:b/>
          <w:bCs/>
          <w:color w:val="000000" w:themeColor="text1"/>
          <w:sz w:val="24"/>
          <w:szCs w:val="24"/>
          <w:lang w:eastAsia="pl-PL"/>
        </w:rPr>
        <w:t>.</w:t>
      </w:r>
    </w:p>
    <w:bookmarkEnd w:id="1"/>
    <w:p w14:paraId="767CB3DE" w14:textId="5E74AD9F" w:rsidR="003E2662" w:rsidRPr="00331F2F" w:rsidRDefault="003E2662" w:rsidP="00331F2F">
      <w:pPr>
        <w:spacing w:after="360"/>
        <w:jc w:val="both"/>
        <w:rPr>
          <w:rFonts w:ascii="Arial" w:hAnsi="Arial" w:cs="Arial"/>
          <w:sz w:val="24"/>
          <w:szCs w:val="24"/>
          <w:lang w:eastAsia="pl-PL"/>
        </w:rPr>
      </w:pPr>
      <w:r w:rsidRPr="00331F2F">
        <w:rPr>
          <w:rFonts w:ascii="Arial" w:hAnsi="Arial" w:cs="Arial"/>
          <w:sz w:val="24"/>
          <w:szCs w:val="24"/>
          <w:lang w:eastAsia="pl-PL"/>
        </w:rPr>
        <w:t>Na podstawie art. 41 ust. 1 ustawy z dnia 5 czerwca 1998 r. o samorządzie województwa (</w:t>
      </w:r>
      <w:r w:rsidR="00331F2F" w:rsidRPr="00331F2F">
        <w:rPr>
          <w:rFonts w:ascii="Arial" w:hAnsi="Arial" w:cs="Arial"/>
          <w:sz w:val="24"/>
          <w:szCs w:val="24"/>
        </w:rPr>
        <w:t xml:space="preserve">Dz.U. z 2022, poz. 2094, </w:t>
      </w:r>
      <w:r w:rsidR="00893D93" w:rsidRPr="00893D93">
        <w:rPr>
          <w:rFonts w:ascii="Arial" w:hAnsi="Arial" w:cs="Arial"/>
          <w:sz w:val="24"/>
          <w:szCs w:val="24"/>
        </w:rPr>
        <w:t xml:space="preserve">z </w:t>
      </w:r>
      <w:proofErr w:type="spellStart"/>
      <w:r w:rsidR="00893D93" w:rsidRPr="00893D93">
        <w:rPr>
          <w:rFonts w:ascii="Arial" w:hAnsi="Arial" w:cs="Arial"/>
          <w:sz w:val="24"/>
          <w:szCs w:val="24"/>
        </w:rPr>
        <w:t>późn</w:t>
      </w:r>
      <w:proofErr w:type="spellEnd"/>
      <w:r w:rsidR="00893D93" w:rsidRPr="00893D93">
        <w:rPr>
          <w:rFonts w:ascii="Arial" w:hAnsi="Arial" w:cs="Arial"/>
          <w:sz w:val="24"/>
          <w:szCs w:val="24"/>
        </w:rPr>
        <w:t>. zm.</w:t>
      </w:r>
      <w:r w:rsidRPr="00331F2F">
        <w:rPr>
          <w:rFonts w:ascii="Arial" w:hAnsi="Arial" w:cs="Arial"/>
          <w:sz w:val="24"/>
          <w:szCs w:val="24"/>
          <w:lang w:eastAsia="pl-PL"/>
        </w:rPr>
        <w:t>), oraz art. 53a ust. 4 ustawy z dnia</w:t>
      </w:r>
      <w:r w:rsidR="00134A1C">
        <w:rPr>
          <w:rFonts w:ascii="Arial" w:hAnsi="Arial" w:cs="Arial"/>
          <w:sz w:val="24"/>
          <w:szCs w:val="24"/>
          <w:lang w:eastAsia="pl-PL"/>
        </w:rPr>
        <w:t xml:space="preserve"> </w:t>
      </w:r>
      <w:r w:rsidRPr="00331F2F">
        <w:rPr>
          <w:rFonts w:ascii="Arial" w:hAnsi="Arial" w:cs="Arial"/>
          <w:sz w:val="24"/>
          <w:szCs w:val="24"/>
          <w:lang w:eastAsia="pl-PL"/>
        </w:rPr>
        <w:t>15 kwietnia 2011 r. o działalności leczniczej (</w:t>
      </w:r>
      <w:r w:rsidR="00321871" w:rsidRPr="00331F2F">
        <w:rPr>
          <w:rFonts w:ascii="Arial" w:hAnsi="Arial" w:cs="Arial"/>
          <w:bCs/>
          <w:kern w:val="36"/>
          <w:sz w:val="24"/>
          <w:szCs w:val="24"/>
          <w:lang w:eastAsia="pl-PL"/>
        </w:rPr>
        <w:t xml:space="preserve">Dz.U. z </w:t>
      </w:r>
      <w:r w:rsidR="00475CA5" w:rsidRPr="00475CA5">
        <w:rPr>
          <w:rFonts w:ascii="Arial" w:hAnsi="Arial" w:cs="Arial"/>
          <w:bCs/>
          <w:kern w:val="36"/>
          <w:sz w:val="24"/>
          <w:szCs w:val="24"/>
          <w:lang w:eastAsia="pl-PL"/>
        </w:rPr>
        <w:t xml:space="preserve">2023 r. poz. 991 z </w:t>
      </w:r>
      <w:proofErr w:type="spellStart"/>
      <w:r w:rsidR="00475CA5" w:rsidRPr="00475CA5">
        <w:rPr>
          <w:rFonts w:ascii="Arial" w:hAnsi="Arial" w:cs="Arial"/>
          <w:bCs/>
          <w:kern w:val="36"/>
          <w:sz w:val="24"/>
          <w:szCs w:val="24"/>
          <w:lang w:eastAsia="pl-PL"/>
        </w:rPr>
        <w:t>późn</w:t>
      </w:r>
      <w:proofErr w:type="spellEnd"/>
      <w:r w:rsidR="00475CA5" w:rsidRPr="00475CA5">
        <w:rPr>
          <w:rFonts w:ascii="Arial" w:hAnsi="Arial" w:cs="Arial"/>
          <w:bCs/>
          <w:kern w:val="36"/>
          <w:sz w:val="24"/>
          <w:szCs w:val="24"/>
          <w:lang w:eastAsia="pl-PL"/>
        </w:rPr>
        <w:t>. zm.</w:t>
      </w:r>
      <w:r w:rsidRPr="00331F2F">
        <w:rPr>
          <w:rFonts w:ascii="Arial" w:hAnsi="Arial" w:cs="Arial"/>
          <w:sz w:val="24"/>
          <w:szCs w:val="24"/>
          <w:lang w:eastAsia="pl-PL"/>
        </w:rPr>
        <w:t>)</w:t>
      </w:r>
    </w:p>
    <w:p w14:paraId="290D4DBA" w14:textId="77777777" w:rsidR="00431CD0" w:rsidRPr="00321871" w:rsidRDefault="003E2662" w:rsidP="00331F2F">
      <w:pPr>
        <w:shd w:val="clear" w:color="auto" w:fill="FFFFFF"/>
        <w:spacing w:after="0" w:line="276" w:lineRule="auto"/>
        <w:jc w:val="center"/>
        <w:rPr>
          <w:rFonts w:ascii="Arial" w:eastAsia="Times New Roman" w:hAnsi="Arial" w:cs="Arial"/>
          <w:b/>
          <w:bCs/>
          <w:color w:val="000000" w:themeColor="text1"/>
          <w:sz w:val="24"/>
          <w:szCs w:val="24"/>
          <w:lang w:eastAsia="pl-PL"/>
        </w:rPr>
      </w:pPr>
      <w:r w:rsidRPr="00321871">
        <w:rPr>
          <w:rFonts w:ascii="Arial" w:eastAsia="Times New Roman" w:hAnsi="Arial" w:cs="Arial"/>
          <w:b/>
          <w:bCs/>
          <w:color w:val="000000" w:themeColor="text1"/>
          <w:sz w:val="24"/>
          <w:szCs w:val="24"/>
          <w:lang w:eastAsia="pl-PL"/>
        </w:rPr>
        <w:t>Zarząd Województwa Podkarpackiego</w:t>
      </w:r>
      <w:r w:rsidR="00431CD0" w:rsidRPr="00321871">
        <w:rPr>
          <w:rFonts w:ascii="Arial" w:eastAsia="Times New Roman" w:hAnsi="Arial" w:cs="Arial"/>
          <w:b/>
          <w:bCs/>
          <w:color w:val="000000" w:themeColor="text1"/>
          <w:sz w:val="24"/>
          <w:szCs w:val="24"/>
          <w:lang w:eastAsia="pl-PL"/>
        </w:rPr>
        <w:t xml:space="preserve"> w Rzeszowie</w:t>
      </w:r>
      <w:r w:rsidRPr="00321871">
        <w:rPr>
          <w:rFonts w:ascii="Arial" w:eastAsia="Times New Roman" w:hAnsi="Arial" w:cs="Arial"/>
          <w:b/>
          <w:bCs/>
          <w:color w:val="000000" w:themeColor="text1"/>
          <w:sz w:val="24"/>
          <w:szCs w:val="24"/>
          <w:lang w:eastAsia="pl-PL"/>
        </w:rPr>
        <w:t xml:space="preserve"> </w:t>
      </w:r>
    </w:p>
    <w:p w14:paraId="00CB644F" w14:textId="1B1EE2AB" w:rsidR="003E2662" w:rsidRPr="00321871" w:rsidRDefault="003E2662" w:rsidP="00331F2F">
      <w:pPr>
        <w:shd w:val="clear" w:color="auto" w:fill="FFFFFF"/>
        <w:spacing w:after="240" w:line="276" w:lineRule="auto"/>
        <w:jc w:val="center"/>
        <w:rPr>
          <w:rFonts w:ascii="Arial" w:eastAsia="Times New Roman" w:hAnsi="Arial" w:cs="Arial"/>
          <w:color w:val="000000" w:themeColor="text1"/>
          <w:sz w:val="24"/>
          <w:szCs w:val="24"/>
          <w:lang w:eastAsia="pl-PL"/>
        </w:rPr>
      </w:pPr>
      <w:r w:rsidRPr="00321871">
        <w:rPr>
          <w:rFonts w:ascii="Arial" w:eastAsia="Times New Roman" w:hAnsi="Arial" w:cs="Arial"/>
          <w:b/>
          <w:bCs/>
          <w:color w:val="000000" w:themeColor="text1"/>
          <w:sz w:val="24"/>
          <w:szCs w:val="24"/>
          <w:lang w:eastAsia="pl-PL"/>
        </w:rPr>
        <w:t>uchwala, co następuje:</w:t>
      </w:r>
    </w:p>
    <w:p w14:paraId="7BAEB9A3" w14:textId="0AEA814E" w:rsidR="00431CD0" w:rsidRPr="00D902FC" w:rsidRDefault="003E2662" w:rsidP="00D902FC">
      <w:pPr>
        <w:pStyle w:val="Nagwek1"/>
      </w:pPr>
      <w:r w:rsidRPr="00D902FC">
        <w:t>§ 1</w:t>
      </w:r>
    </w:p>
    <w:p w14:paraId="295B3110" w14:textId="00388F98" w:rsidR="003E2662" w:rsidRPr="00331F2F" w:rsidRDefault="003E2662" w:rsidP="00331F2F">
      <w:pPr>
        <w:pStyle w:val="Akapitzlist"/>
        <w:spacing w:after="240" w:line="276" w:lineRule="auto"/>
        <w:ind w:left="0"/>
        <w:contextualSpacing w:val="0"/>
        <w:jc w:val="both"/>
        <w:rPr>
          <w:rFonts w:ascii="Arial" w:eastAsia="Times New Roman" w:hAnsi="Arial" w:cs="Arial"/>
          <w:color w:val="000000" w:themeColor="text1"/>
          <w:sz w:val="24"/>
          <w:szCs w:val="24"/>
          <w:lang w:eastAsia="pl-PL"/>
        </w:rPr>
      </w:pPr>
      <w:r w:rsidRPr="00321871">
        <w:rPr>
          <w:rFonts w:ascii="Arial" w:eastAsia="Times New Roman" w:hAnsi="Arial" w:cs="Arial"/>
          <w:color w:val="000000" w:themeColor="text1"/>
          <w:sz w:val="24"/>
          <w:szCs w:val="24"/>
          <w:lang w:eastAsia="pl-PL"/>
        </w:rPr>
        <w:t>Dokonuje się oceny sytuacji ekonomiczno-finansowej samodzielnych publicznych z</w:t>
      </w:r>
      <w:r w:rsidR="00151421" w:rsidRPr="00321871">
        <w:rPr>
          <w:rFonts w:ascii="Arial" w:eastAsia="Times New Roman" w:hAnsi="Arial" w:cs="Arial"/>
          <w:color w:val="000000" w:themeColor="text1"/>
          <w:sz w:val="24"/>
          <w:szCs w:val="24"/>
          <w:lang w:eastAsia="pl-PL"/>
        </w:rPr>
        <w:t>akładów opieki zdrowotnej za 202</w:t>
      </w:r>
      <w:r w:rsidR="00484FD6">
        <w:rPr>
          <w:rFonts w:ascii="Arial" w:eastAsia="Times New Roman" w:hAnsi="Arial" w:cs="Arial"/>
          <w:color w:val="000000" w:themeColor="text1"/>
          <w:sz w:val="24"/>
          <w:szCs w:val="24"/>
          <w:lang w:eastAsia="pl-PL"/>
        </w:rPr>
        <w:t>2</w:t>
      </w:r>
      <w:r w:rsidRPr="00321871">
        <w:rPr>
          <w:rFonts w:ascii="Arial" w:eastAsia="Times New Roman" w:hAnsi="Arial" w:cs="Arial"/>
          <w:color w:val="000000" w:themeColor="text1"/>
          <w:sz w:val="24"/>
          <w:szCs w:val="24"/>
          <w:lang w:eastAsia="pl-PL"/>
        </w:rPr>
        <w:t xml:space="preserve"> rok na podstawie przedłożonych przez Dyrektorów SPZOZ raportów o</w:t>
      </w:r>
      <w:r w:rsidR="00E65DA9">
        <w:rPr>
          <w:rFonts w:ascii="Arial" w:eastAsia="Times New Roman" w:hAnsi="Arial" w:cs="Arial"/>
          <w:color w:val="000000" w:themeColor="text1"/>
          <w:sz w:val="24"/>
          <w:szCs w:val="24"/>
          <w:lang w:eastAsia="pl-PL"/>
        </w:rPr>
        <w:t xml:space="preserve"> </w:t>
      </w:r>
      <w:r w:rsidRPr="00321871">
        <w:rPr>
          <w:rFonts w:ascii="Arial" w:eastAsia="Times New Roman" w:hAnsi="Arial" w:cs="Arial"/>
          <w:color w:val="000000" w:themeColor="text1"/>
          <w:sz w:val="24"/>
          <w:szCs w:val="24"/>
          <w:lang w:eastAsia="pl-PL"/>
        </w:rPr>
        <w:t>sytuacji ekonomiczno-fi</w:t>
      </w:r>
      <w:r w:rsidR="002005B4" w:rsidRPr="00321871">
        <w:rPr>
          <w:rFonts w:ascii="Arial" w:eastAsia="Times New Roman" w:hAnsi="Arial" w:cs="Arial"/>
          <w:color w:val="000000" w:themeColor="text1"/>
          <w:sz w:val="24"/>
          <w:szCs w:val="24"/>
          <w:lang w:eastAsia="pl-PL"/>
        </w:rPr>
        <w:t xml:space="preserve">nansowej </w:t>
      </w:r>
      <w:r w:rsidR="0009272E" w:rsidRPr="00321871">
        <w:rPr>
          <w:rFonts w:ascii="Arial" w:eastAsia="Times New Roman" w:hAnsi="Arial" w:cs="Arial"/>
          <w:color w:val="000000" w:themeColor="text1"/>
          <w:sz w:val="24"/>
          <w:szCs w:val="24"/>
          <w:lang w:eastAsia="pl-PL"/>
        </w:rPr>
        <w:t xml:space="preserve">podmiotów </w:t>
      </w:r>
      <w:r w:rsidR="0009272E" w:rsidRPr="00DB6FDE">
        <w:rPr>
          <w:rFonts w:ascii="Arial" w:eastAsia="Times New Roman" w:hAnsi="Arial" w:cs="Arial"/>
          <w:color w:val="000000" w:themeColor="text1"/>
          <w:sz w:val="24"/>
          <w:szCs w:val="24"/>
          <w:lang w:eastAsia="pl-PL"/>
        </w:rPr>
        <w:t xml:space="preserve">leczniczych </w:t>
      </w:r>
      <w:r w:rsidR="00373A0C" w:rsidRPr="00DB6FDE">
        <w:rPr>
          <w:rFonts w:ascii="Arial" w:eastAsia="Times New Roman" w:hAnsi="Arial" w:cs="Arial"/>
          <w:color w:val="000000" w:themeColor="text1"/>
          <w:sz w:val="24"/>
          <w:szCs w:val="24"/>
          <w:lang w:eastAsia="pl-PL"/>
        </w:rPr>
        <w:t xml:space="preserve">– </w:t>
      </w:r>
      <w:r w:rsidR="00373A0C" w:rsidRPr="00571065">
        <w:rPr>
          <w:rFonts w:ascii="Arial" w:eastAsia="Times New Roman" w:hAnsi="Arial" w:cs="Arial"/>
          <w:color w:val="000000" w:themeColor="text1"/>
          <w:sz w:val="24"/>
          <w:szCs w:val="24"/>
          <w:lang w:eastAsia="pl-PL"/>
        </w:rPr>
        <w:t xml:space="preserve">ocena </w:t>
      </w:r>
      <w:r w:rsidR="0009272E" w:rsidRPr="00571065">
        <w:rPr>
          <w:rFonts w:ascii="Arial" w:eastAsia="Times New Roman" w:hAnsi="Arial" w:cs="Arial"/>
          <w:color w:val="000000" w:themeColor="text1"/>
          <w:sz w:val="24"/>
          <w:szCs w:val="24"/>
          <w:lang w:eastAsia="pl-PL"/>
        </w:rPr>
        <w:t>stanowi załącznik do uchwały.</w:t>
      </w:r>
    </w:p>
    <w:p w14:paraId="0DBEF51F" w14:textId="440656C6" w:rsidR="00431CD0" w:rsidRPr="00DB6FDE" w:rsidRDefault="003E2662" w:rsidP="00D902FC">
      <w:pPr>
        <w:pStyle w:val="Nagwek1"/>
      </w:pPr>
      <w:r w:rsidRPr="00DB6FDE">
        <w:t>§ 2</w:t>
      </w:r>
    </w:p>
    <w:p w14:paraId="123911A6" w14:textId="08EF23EC" w:rsidR="003E2662" w:rsidRPr="00DB6FDE" w:rsidRDefault="003E2662" w:rsidP="00331F2F">
      <w:pPr>
        <w:shd w:val="clear" w:color="auto" w:fill="FFFFFF"/>
        <w:spacing w:after="240" w:line="276" w:lineRule="auto"/>
        <w:jc w:val="both"/>
        <w:rPr>
          <w:rFonts w:ascii="Arial" w:eastAsia="Times New Roman" w:hAnsi="Arial" w:cs="Arial"/>
          <w:color w:val="000000" w:themeColor="text1"/>
          <w:sz w:val="24"/>
          <w:szCs w:val="24"/>
          <w:lang w:eastAsia="pl-PL"/>
        </w:rPr>
      </w:pPr>
      <w:r w:rsidRPr="00DB6FDE">
        <w:rPr>
          <w:rFonts w:ascii="Arial" w:eastAsia="Times New Roman" w:hAnsi="Arial" w:cs="Arial"/>
          <w:color w:val="000000" w:themeColor="text1"/>
          <w:sz w:val="24"/>
          <w:szCs w:val="24"/>
          <w:lang w:eastAsia="pl-PL"/>
        </w:rPr>
        <w:t>Wykonanie uchwały powierza się Dyrektorowi Departamentu Ochrony Zdrowia i Polityki Społecznej Urzędu Marszałkowskiego Województwa Podkarpackiego.</w:t>
      </w:r>
    </w:p>
    <w:p w14:paraId="2C127DEA" w14:textId="5941D266" w:rsidR="00431CD0" w:rsidRPr="00331F2F" w:rsidRDefault="003E2662" w:rsidP="00D902FC">
      <w:pPr>
        <w:pStyle w:val="Nagwek1"/>
      </w:pPr>
      <w:r w:rsidRPr="00DB6FDE">
        <w:t>§ 3</w:t>
      </w:r>
    </w:p>
    <w:p w14:paraId="158F622C" w14:textId="6BEBB853" w:rsidR="00331F2F" w:rsidRDefault="003E2662" w:rsidP="00D80B0F">
      <w:pPr>
        <w:shd w:val="clear" w:color="auto" w:fill="FFFFFF"/>
        <w:spacing w:after="0" w:line="276" w:lineRule="auto"/>
        <w:rPr>
          <w:rFonts w:ascii="Arial" w:eastAsia="Times New Roman" w:hAnsi="Arial" w:cs="Arial"/>
          <w:color w:val="000000" w:themeColor="text1"/>
          <w:sz w:val="24"/>
          <w:szCs w:val="24"/>
          <w:lang w:eastAsia="pl-PL"/>
        </w:rPr>
      </w:pPr>
      <w:r w:rsidRPr="00DB6FDE">
        <w:rPr>
          <w:rFonts w:ascii="Arial" w:eastAsia="Times New Roman" w:hAnsi="Arial" w:cs="Arial"/>
          <w:color w:val="000000" w:themeColor="text1"/>
          <w:sz w:val="24"/>
          <w:szCs w:val="24"/>
          <w:lang w:eastAsia="pl-PL"/>
        </w:rPr>
        <w:t>Uchwała wchodzi w życie z dniem podjęcia.</w:t>
      </w:r>
    </w:p>
    <w:p w14:paraId="7321BB93" w14:textId="77777777" w:rsidR="002F7442" w:rsidRDefault="002F7442" w:rsidP="00D80B0F">
      <w:pPr>
        <w:shd w:val="clear" w:color="auto" w:fill="FFFFFF"/>
        <w:spacing w:after="0" w:line="276" w:lineRule="auto"/>
        <w:rPr>
          <w:rFonts w:ascii="Arial" w:eastAsia="Times New Roman" w:hAnsi="Arial" w:cs="Arial"/>
          <w:color w:val="000000" w:themeColor="text1"/>
          <w:sz w:val="24"/>
          <w:szCs w:val="24"/>
          <w:lang w:eastAsia="pl-PL"/>
        </w:rPr>
      </w:pPr>
    </w:p>
    <w:p w14:paraId="2DBBA521" w14:textId="77777777" w:rsidR="00E43ABB" w:rsidRPr="005322A8" w:rsidRDefault="00E43ABB" w:rsidP="00E43ABB">
      <w:pPr>
        <w:spacing w:after="0"/>
        <w:rPr>
          <w:rFonts w:ascii="Arial" w:eastAsia="Calibri" w:hAnsi="Arial" w:cs="Arial"/>
          <w:sz w:val="23"/>
          <w:szCs w:val="23"/>
        </w:rPr>
      </w:pPr>
      <w:bookmarkStart w:id="2" w:name="_Hlk124256140"/>
      <w:r w:rsidRPr="005322A8">
        <w:rPr>
          <w:rFonts w:ascii="Arial" w:eastAsia="Calibri" w:hAnsi="Arial" w:cs="Arial"/>
          <w:i/>
          <w:iCs/>
          <w:sz w:val="23"/>
          <w:szCs w:val="23"/>
        </w:rPr>
        <w:t xml:space="preserve">Podpisał: </w:t>
      </w:r>
    </w:p>
    <w:p w14:paraId="12BA9E8F" w14:textId="77777777" w:rsidR="00E43ABB" w:rsidRPr="005322A8" w:rsidRDefault="00E43ABB" w:rsidP="00E43ABB">
      <w:pPr>
        <w:spacing w:after="0"/>
        <w:rPr>
          <w:rFonts w:ascii="Arial" w:eastAsiaTheme="minorEastAsia" w:hAnsi="Arial" w:cs="Arial"/>
        </w:rPr>
      </w:pPr>
      <w:r w:rsidRPr="005322A8">
        <w:rPr>
          <w:rFonts w:ascii="Arial" w:eastAsia="Calibri" w:hAnsi="Arial" w:cs="Arial"/>
          <w:i/>
          <w:iCs/>
          <w:sz w:val="23"/>
          <w:szCs w:val="23"/>
        </w:rPr>
        <w:t>Władysław Ortyl – Marszałek Województwa Podkarpackiego</w:t>
      </w:r>
    </w:p>
    <w:bookmarkEnd w:id="2"/>
    <w:p w14:paraId="77EFF4A0" w14:textId="77777777" w:rsidR="00E43ABB" w:rsidRDefault="00E43ABB" w:rsidP="00D80B0F">
      <w:pPr>
        <w:shd w:val="clear" w:color="auto" w:fill="FFFFFF"/>
        <w:spacing w:after="0" w:line="276" w:lineRule="auto"/>
        <w:rPr>
          <w:rFonts w:ascii="Arial" w:eastAsia="Times New Roman" w:hAnsi="Arial" w:cs="Arial"/>
          <w:color w:val="000000" w:themeColor="text1"/>
          <w:sz w:val="24"/>
          <w:szCs w:val="24"/>
          <w:lang w:eastAsia="pl-PL"/>
        </w:rPr>
      </w:pPr>
    </w:p>
    <w:p w14:paraId="53C44789" w14:textId="77777777" w:rsidR="00E43ABB" w:rsidRDefault="00E43ABB" w:rsidP="00D80B0F">
      <w:pPr>
        <w:shd w:val="clear" w:color="auto" w:fill="FFFFFF"/>
        <w:spacing w:after="0" w:line="276" w:lineRule="auto"/>
        <w:rPr>
          <w:rFonts w:ascii="Arial" w:eastAsia="Times New Roman" w:hAnsi="Arial" w:cs="Arial"/>
          <w:color w:val="000000" w:themeColor="text1"/>
          <w:sz w:val="24"/>
          <w:szCs w:val="24"/>
          <w:lang w:eastAsia="pl-PL"/>
        </w:rPr>
      </w:pPr>
    </w:p>
    <w:p w14:paraId="52069A32" w14:textId="77777777" w:rsidR="00E43ABB" w:rsidRDefault="00E43ABB" w:rsidP="00D80B0F">
      <w:pPr>
        <w:shd w:val="clear" w:color="auto" w:fill="FFFFFF"/>
        <w:spacing w:after="0" w:line="276" w:lineRule="auto"/>
        <w:rPr>
          <w:rFonts w:ascii="Arial" w:eastAsia="Times New Roman" w:hAnsi="Arial" w:cs="Arial"/>
          <w:color w:val="000000" w:themeColor="text1"/>
          <w:sz w:val="24"/>
          <w:szCs w:val="24"/>
          <w:lang w:eastAsia="pl-PL"/>
        </w:rPr>
        <w:sectPr w:rsidR="00E43ABB" w:rsidSect="0009272E">
          <w:footerReference w:type="default" r:id="rId8"/>
          <w:pgSz w:w="11906" w:h="16838"/>
          <w:pgMar w:top="1417" w:right="1417" w:bottom="1417" w:left="1417" w:header="708" w:footer="708" w:gutter="0"/>
          <w:cols w:space="708"/>
          <w:docGrid w:linePitch="360"/>
        </w:sectPr>
      </w:pPr>
    </w:p>
    <w:p w14:paraId="3D47378E" w14:textId="120C7AB6" w:rsidR="00301516" w:rsidRPr="00301516" w:rsidRDefault="00301516" w:rsidP="00301516">
      <w:pPr>
        <w:spacing w:after="0" w:line="276" w:lineRule="auto"/>
        <w:jc w:val="right"/>
        <w:rPr>
          <w:rFonts w:ascii="Arial" w:eastAsia="Times New Roman" w:hAnsi="Arial" w:cs="Arial"/>
          <w:bCs/>
          <w:sz w:val="24"/>
          <w:szCs w:val="24"/>
          <w:lang w:eastAsia="pl-PL"/>
        </w:rPr>
      </w:pPr>
      <w:bookmarkStart w:id="3" w:name="_Hlk97711470"/>
      <w:r w:rsidRPr="00301516">
        <w:rPr>
          <w:rFonts w:ascii="Arial" w:eastAsia="Times New Roman" w:hAnsi="Arial" w:cs="Arial"/>
          <w:bCs/>
          <w:sz w:val="24"/>
          <w:szCs w:val="24"/>
          <w:lang w:eastAsia="pl-PL"/>
        </w:rPr>
        <w:lastRenderedPageBreak/>
        <w:t>Załącznik do Uchwały Nr 5</w:t>
      </w:r>
      <w:r>
        <w:rPr>
          <w:rFonts w:ascii="Arial" w:eastAsia="Times New Roman" w:hAnsi="Arial" w:cs="Arial"/>
          <w:bCs/>
          <w:sz w:val="24"/>
          <w:szCs w:val="24"/>
          <w:lang w:eastAsia="pl-PL"/>
        </w:rPr>
        <w:t>50</w:t>
      </w:r>
      <w:r w:rsidRPr="00301516">
        <w:rPr>
          <w:rFonts w:ascii="Arial" w:eastAsia="Times New Roman" w:hAnsi="Arial" w:cs="Arial"/>
          <w:bCs/>
          <w:sz w:val="24"/>
          <w:szCs w:val="24"/>
          <w:lang w:eastAsia="pl-PL"/>
        </w:rPr>
        <w:t>/</w:t>
      </w:r>
      <w:r w:rsidR="00FA0C2D">
        <w:rPr>
          <w:rFonts w:ascii="Arial" w:eastAsia="Times New Roman" w:hAnsi="Arial" w:cs="Arial"/>
          <w:bCs/>
          <w:sz w:val="24"/>
          <w:szCs w:val="24"/>
          <w:lang w:eastAsia="pl-PL"/>
        </w:rPr>
        <w:t>11652</w:t>
      </w:r>
      <w:r w:rsidRPr="00301516">
        <w:rPr>
          <w:rFonts w:ascii="Arial" w:eastAsia="Times New Roman" w:hAnsi="Arial" w:cs="Arial"/>
          <w:bCs/>
          <w:sz w:val="24"/>
          <w:szCs w:val="24"/>
          <w:lang w:eastAsia="pl-PL"/>
        </w:rPr>
        <w:t>/23</w:t>
      </w:r>
    </w:p>
    <w:p w14:paraId="702B1CB9" w14:textId="77777777" w:rsidR="00301516" w:rsidRPr="00301516" w:rsidRDefault="00301516" w:rsidP="00301516">
      <w:pPr>
        <w:spacing w:after="0" w:line="276" w:lineRule="auto"/>
        <w:jc w:val="right"/>
        <w:rPr>
          <w:rFonts w:ascii="Arial" w:eastAsia="Times New Roman" w:hAnsi="Arial" w:cs="Arial"/>
          <w:bCs/>
          <w:sz w:val="24"/>
          <w:szCs w:val="24"/>
          <w:lang w:eastAsia="pl-PL"/>
        </w:rPr>
      </w:pPr>
      <w:r w:rsidRPr="00301516">
        <w:rPr>
          <w:rFonts w:ascii="Arial" w:eastAsia="Times New Roman" w:hAnsi="Arial" w:cs="Arial"/>
          <w:bCs/>
          <w:sz w:val="24"/>
          <w:szCs w:val="24"/>
          <w:lang w:eastAsia="pl-PL"/>
        </w:rPr>
        <w:t>Zarządu Województwa Podkarpackiego</w:t>
      </w:r>
    </w:p>
    <w:p w14:paraId="40F9D2C1" w14:textId="77777777" w:rsidR="00301516" w:rsidRPr="00301516" w:rsidRDefault="00301516" w:rsidP="00301516">
      <w:pPr>
        <w:spacing w:after="0" w:line="276" w:lineRule="auto"/>
        <w:jc w:val="right"/>
        <w:rPr>
          <w:rFonts w:ascii="Arial" w:eastAsia="Times New Roman" w:hAnsi="Arial" w:cs="Arial"/>
          <w:bCs/>
          <w:sz w:val="24"/>
          <w:szCs w:val="24"/>
          <w:lang w:eastAsia="pl-PL"/>
        </w:rPr>
      </w:pPr>
      <w:r w:rsidRPr="00301516">
        <w:rPr>
          <w:rFonts w:ascii="Arial" w:eastAsia="Times New Roman" w:hAnsi="Arial" w:cs="Arial"/>
          <w:bCs/>
          <w:sz w:val="24"/>
          <w:szCs w:val="24"/>
          <w:lang w:eastAsia="pl-PL"/>
        </w:rPr>
        <w:t>w Rzeszowie</w:t>
      </w:r>
    </w:p>
    <w:p w14:paraId="4B16FF2B" w14:textId="0E12A3B5" w:rsidR="00301516" w:rsidRPr="00301516" w:rsidRDefault="00301516" w:rsidP="00301516">
      <w:pPr>
        <w:spacing w:after="0" w:line="276" w:lineRule="auto"/>
        <w:jc w:val="right"/>
        <w:rPr>
          <w:rFonts w:ascii="Arial" w:eastAsia="Times New Roman" w:hAnsi="Arial" w:cs="Arial"/>
          <w:bCs/>
          <w:sz w:val="24"/>
          <w:szCs w:val="24"/>
          <w:lang w:eastAsia="pl-PL"/>
        </w:rPr>
      </w:pPr>
      <w:r w:rsidRPr="00301516">
        <w:rPr>
          <w:rFonts w:ascii="Arial" w:eastAsia="Times New Roman" w:hAnsi="Arial" w:cs="Arial"/>
          <w:bCs/>
          <w:sz w:val="24"/>
          <w:szCs w:val="24"/>
          <w:lang w:eastAsia="pl-PL"/>
        </w:rPr>
        <w:t xml:space="preserve">z dnia </w:t>
      </w:r>
      <w:r>
        <w:rPr>
          <w:rFonts w:ascii="Arial" w:eastAsia="Times New Roman" w:hAnsi="Arial" w:cs="Arial"/>
          <w:bCs/>
          <w:sz w:val="24"/>
          <w:szCs w:val="24"/>
          <w:lang w:eastAsia="pl-PL"/>
        </w:rPr>
        <w:t>19 grudnia</w:t>
      </w:r>
      <w:r w:rsidRPr="00301516">
        <w:rPr>
          <w:rFonts w:ascii="Arial" w:eastAsia="Times New Roman" w:hAnsi="Arial" w:cs="Arial"/>
          <w:bCs/>
          <w:sz w:val="24"/>
          <w:szCs w:val="24"/>
          <w:lang w:eastAsia="pl-PL"/>
        </w:rPr>
        <w:t xml:space="preserve"> </w:t>
      </w:r>
      <w:r w:rsidRPr="00301516">
        <w:rPr>
          <w:rFonts w:ascii="Arial" w:eastAsia="Times New Roman" w:hAnsi="Arial" w:cs="Times New Roman"/>
          <w:sz w:val="24"/>
          <w:szCs w:val="24"/>
          <w:lang w:eastAsia="pl-PL"/>
        </w:rPr>
        <w:t xml:space="preserve">2023 </w:t>
      </w:r>
      <w:r w:rsidRPr="00301516">
        <w:rPr>
          <w:rFonts w:ascii="Arial" w:eastAsia="Times New Roman" w:hAnsi="Arial" w:cs="Arial"/>
          <w:bCs/>
          <w:sz w:val="24"/>
          <w:szCs w:val="24"/>
          <w:lang w:eastAsia="pl-PL"/>
        </w:rPr>
        <w:t>r.</w:t>
      </w:r>
    </w:p>
    <w:bookmarkEnd w:id="3"/>
    <w:p w14:paraId="70AB5B8D" w14:textId="77777777" w:rsidR="00301516" w:rsidRDefault="00301516" w:rsidP="005F75F7">
      <w:pPr>
        <w:autoSpaceDE w:val="0"/>
        <w:autoSpaceDN w:val="0"/>
        <w:adjustRightInd w:val="0"/>
        <w:spacing w:after="120" w:line="276" w:lineRule="auto"/>
        <w:jc w:val="both"/>
        <w:rPr>
          <w:rFonts w:ascii="Arial" w:eastAsiaTheme="minorEastAsia" w:hAnsi="Arial" w:cs="Arial"/>
          <w:color w:val="000000"/>
          <w:sz w:val="24"/>
          <w:szCs w:val="24"/>
        </w:rPr>
      </w:pPr>
    </w:p>
    <w:p w14:paraId="4DBA44D8" w14:textId="668E0038" w:rsidR="005F75F7" w:rsidRPr="005F75F7" w:rsidRDefault="005F75F7" w:rsidP="005F75F7">
      <w:pPr>
        <w:autoSpaceDE w:val="0"/>
        <w:autoSpaceDN w:val="0"/>
        <w:adjustRightInd w:val="0"/>
        <w:spacing w:after="120" w:line="276" w:lineRule="auto"/>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Analiza oraz prognoza sytuacji ekonomiczno-finansowej zawarta w raporcie o sytuacji ekonomiczno-finansowej przygotowywana jest w oparciu o wskaźniki określone w rozporządzeniu Ministra Zdrowia z dnia 12 kwietnia 2017 r. w sprawie wskaźników ekonomiczno-finansowych niezbędnych do sporządzenia analizy oraz prognozy sytuacji ekonomiczno-finansowej samodzielnych publicznych zakładów opieki zdrowotnej (Dz.U. 2017, poz. 832). Wskaźniki obejmują cztery obszary analizy:</w:t>
      </w:r>
    </w:p>
    <w:p w14:paraId="7DEFF093" w14:textId="77777777" w:rsidR="005F75F7" w:rsidRPr="005F75F7" w:rsidRDefault="005F75F7" w:rsidP="005F75F7">
      <w:pPr>
        <w:numPr>
          <w:ilvl w:val="0"/>
          <w:numId w:val="6"/>
        </w:numPr>
        <w:autoSpaceDE w:val="0"/>
        <w:autoSpaceDN w:val="0"/>
        <w:adjustRightInd w:val="0"/>
        <w:spacing w:after="0" w:line="264" w:lineRule="auto"/>
        <w:contextualSpacing/>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zyskowność – wskaźnik zyskowności netto, zyskowności działalności operacyjnej, zyskowności aktywów;</w:t>
      </w:r>
    </w:p>
    <w:p w14:paraId="78ED3CFF" w14:textId="77777777" w:rsidR="005F75F7" w:rsidRPr="005F75F7" w:rsidRDefault="005F75F7" w:rsidP="005F75F7">
      <w:pPr>
        <w:numPr>
          <w:ilvl w:val="0"/>
          <w:numId w:val="6"/>
        </w:numPr>
        <w:autoSpaceDE w:val="0"/>
        <w:autoSpaceDN w:val="0"/>
        <w:adjustRightInd w:val="0"/>
        <w:spacing w:after="0" w:line="264" w:lineRule="auto"/>
        <w:contextualSpacing/>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płynność – wskaźniki płynności: bieżącej i szybkiej;</w:t>
      </w:r>
    </w:p>
    <w:p w14:paraId="4049FDBF" w14:textId="77777777" w:rsidR="005F75F7" w:rsidRPr="005F75F7" w:rsidRDefault="005F75F7" w:rsidP="005F75F7">
      <w:pPr>
        <w:numPr>
          <w:ilvl w:val="0"/>
          <w:numId w:val="6"/>
        </w:numPr>
        <w:autoSpaceDE w:val="0"/>
        <w:autoSpaceDN w:val="0"/>
        <w:adjustRightInd w:val="0"/>
        <w:spacing w:after="0" w:line="264" w:lineRule="auto"/>
        <w:contextualSpacing/>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efektywność – wskaźniki efektywności: rotacji należności i rotacji zobowiązań;</w:t>
      </w:r>
    </w:p>
    <w:p w14:paraId="71984CA5" w14:textId="77777777" w:rsidR="005F75F7" w:rsidRPr="005F75F7" w:rsidRDefault="005F75F7" w:rsidP="005F75F7">
      <w:pPr>
        <w:numPr>
          <w:ilvl w:val="0"/>
          <w:numId w:val="6"/>
        </w:numPr>
        <w:autoSpaceDE w:val="0"/>
        <w:autoSpaceDN w:val="0"/>
        <w:adjustRightInd w:val="0"/>
        <w:spacing w:after="360" w:line="264" w:lineRule="auto"/>
        <w:contextualSpacing/>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zadłużenie – wskaźnik zadłużenia aktywów i wypłacalności.</w:t>
      </w:r>
    </w:p>
    <w:p w14:paraId="7AC141FC" w14:textId="77777777" w:rsidR="005F75F7" w:rsidRPr="00D902FC" w:rsidRDefault="005F75F7" w:rsidP="00D902FC">
      <w:pPr>
        <w:pStyle w:val="Nagwek2"/>
      </w:pPr>
      <w:r w:rsidRPr="00D902FC">
        <w:t>Wskaźniki zyskowności</w:t>
      </w:r>
    </w:p>
    <w:p w14:paraId="630D5E0D" w14:textId="77777777" w:rsidR="005F75F7" w:rsidRPr="005F75F7" w:rsidRDefault="005F75F7" w:rsidP="005F75F7">
      <w:pPr>
        <w:spacing w:after="240" w:line="264"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Wskaźniki zyskowności określają zdolność podmiotu do generowania zysków, a zatem ekonomiczną efektywność działalności. Dodatnie wartości wskaźników informują o racjonalnym gospodarowaniu, gdzie przychody podmiotu przewyższają koszty.</w:t>
      </w:r>
    </w:p>
    <w:p w14:paraId="12DDFC28" w14:textId="77777777" w:rsidR="005F75F7" w:rsidRPr="00D902FC" w:rsidRDefault="005F75F7" w:rsidP="00D902FC">
      <w:pPr>
        <w:pStyle w:val="Nagwek3"/>
      </w:pPr>
      <w:r w:rsidRPr="00D902FC">
        <w:t>wskaźnik zyskowności netto (%) =</w:t>
      </w:r>
    </w:p>
    <w:tbl>
      <w:tblPr>
        <w:tblW w:w="9128" w:type="dxa"/>
        <w:tblCellMar>
          <w:top w:w="15" w:type="dxa"/>
          <w:left w:w="15" w:type="dxa"/>
          <w:bottom w:w="15" w:type="dxa"/>
          <w:right w:w="15" w:type="dxa"/>
        </w:tblCellMar>
        <w:tblLook w:val="04A0" w:firstRow="1" w:lastRow="0" w:firstColumn="1" w:lastColumn="0" w:noHBand="0" w:noVBand="1"/>
        <w:tblDescription w:val="wskaźnik zyskowności netto to wynik netto razy 100% podzielony przez sumę przychodów netto ze sprzedaży produktów, przychodów netto ze sprzedaży towarów imateriałów, pozostałych przychodów operacyjnych oraz przychodów finansowych"/>
      </w:tblPr>
      <w:tblGrid>
        <w:gridCol w:w="9128"/>
      </w:tblGrid>
      <w:tr w:rsidR="005F75F7" w:rsidRPr="005F75F7" w14:paraId="6ED141F0" w14:textId="77777777" w:rsidTr="00D902FC">
        <w:trPr>
          <w:trHeight w:val="241"/>
        </w:trPr>
        <w:tc>
          <w:tcPr>
            <w:tcW w:w="0" w:type="auto"/>
            <w:tcBorders>
              <w:bottom w:val="single" w:sz="4" w:space="0" w:color="auto"/>
            </w:tcBorders>
            <w:vAlign w:val="center"/>
            <w:hideMark/>
          </w:tcPr>
          <w:p w14:paraId="691F3F6E"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Wynik netto x 100%</w:t>
            </w:r>
          </w:p>
        </w:tc>
      </w:tr>
      <w:tr w:rsidR="005F75F7" w:rsidRPr="005F75F7" w14:paraId="3E8AF57E" w14:textId="77777777" w:rsidTr="00D902FC">
        <w:trPr>
          <w:trHeight w:val="492"/>
        </w:trPr>
        <w:tc>
          <w:tcPr>
            <w:tcW w:w="0" w:type="auto"/>
            <w:tcBorders>
              <w:top w:val="single" w:sz="4" w:space="0" w:color="auto"/>
            </w:tcBorders>
            <w:vAlign w:val="center"/>
            <w:hideMark/>
          </w:tcPr>
          <w:p w14:paraId="6CDB925D" w14:textId="77777777" w:rsidR="005F75F7" w:rsidRPr="005F75F7" w:rsidRDefault="005F75F7" w:rsidP="005F75F7">
            <w:pPr>
              <w:spacing w:after="24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Przychody netto ze sprzedaży produktów + przychody netto ze sprzedaży towarów i materiałów + pozostałe przychody operacyjne + przychody finansowe</w:t>
            </w:r>
          </w:p>
        </w:tc>
      </w:tr>
    </w:tbl>
    <w:p w14:paraId="33206C23" w14:textId="44C77AA9" w:rsidR="00D902FC" w:rsidRDefault="00D902FC" w:rsidP="00D902FC">
      <w:pPr>
        <w:pStyle w:val="Legenda"/>
        <w:keepNext/>
      </w:pPr>
      <w:r>
        <w:t xml:space="preserve">Tabela </w:t>
      </w:r>
      <w:fldSimple w:instr=" SEQ Tabela \* ARABIC ">
        <w:r w:rsidR="00FA0C2D">
          <w:rPr>
            <w:noProof/>
          </w:rPr>
          <w:t>1</w:t>
        </w:r>
      </w:fldSimple>
      <w:r>
        <w:t xml:space="preserve">. </w:t>
      </w:r>
      <w:r w:rsidRPr="00D902FC">
        <w:t>Przedziały wartości i ocena punktowa wskaźnika zyskowności netto</w:t>
      </w:r>
      <w:r>
        <w:t>.</w:t>
      </w:r>
    </w:p>
    <w:tbl>
      <w:tblPr>
        <w:tblW w:w="5812" w:type="dxa"/>
        <w:tblCellMar>
          <w:top w:w="15" w:type="dxa"/>
          <w:left w:w="15" w:type="dxa"/>
          <w:bottom w:w="15" w:type="dxa"/>
          <w:right w:w="15" w:type="dxa"/>
        </w:tblCellMar>
        <w:tblLook w:val="04A0" w:firstRow="1" w:lastRow="0" w:firstColumn="1" w:lastColumn="0" w:noHBand="0" w:noVBand="1"/>
        <w:tblCaption w:val="Tabela 1. Przedziały wartości i ocena punktowa wskaźnika zyskowności netto."/>
        <w:tblDescription w:val="Tabela zawiera: liczbę porządkową, przedziały wartości, ocenę punktową."/>
      </w:tblPr>
      <w:tblGrid>
        <w:gridCol w:w="788"/>
        <w:gridCol w:w="3181"/>
        <w:gridCol w:w="1843"/>
      </w:tblGrid>
      <w:tr w:rsidR="005F75F7" w:rsidRPr="005F75F7" w14:paraId="65C72CFD"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27C7ABF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3181" w:type="dxa"/>
            <w:tcBorders>
              <w:top w:val="single" w:sz="4" w:space="0" w:color="auto"/>
              <w:left w:val="single" w:sz="4" w:space="0" w:color="auto"/>
              <w:bottom w:val="single" w:sz="4" w:space="0" w:color="auto"/>
              <w:right w:val="single" w:sz="4" w:space="0" w:color="auto"/>
            </w:tcBorders>
            <w:vAlign w:val="center"/>
            <w:hideMark/>
          </w:tcPr>
          <w:p w14:paraId="321C636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1EC70F"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740A16CA"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2515DC0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3181" w:type="dxa"/>
            <w:tcBorders>
              <w:top w:val="single" w:sz="4" w:space="0" w:color="auto"/>
              <w:left w:val="single" w:sz="4" w:space="0" w:color="auto"/>
              <w:bottom w:val="single" w:sz="4" w:space="0" w:color="auto"/>
              <w:right w:val="single" w:sz="4" w:space="0" w:color="auto"/>
            </w:tcBorders>
            <w:vAlign w:val="center"/>
            <w:hideMark/>
          </w:tcPr>
          <w:p w14:paraId="52A5A9AA"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6ACB6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r w:rsidR="005F75F7" w:rsidRPr="005F75F7" w14:paraId="44FAD02A"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4219448F"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3181" w:type="dxa"/>
            <w:tcBorders>
              <w:top w:val="single" w:sz="4" w:space="0" w:color="auto"/>
              <w:left w:val="single" w:sz="4" w:space="0" w:color="auto"/>
              <w:bottom w:val="single" w:sz="4" w:space="0" w:color="auto"/>
              <w:right w:val="single" w:sz="4" w:space="0" w:color="auto"/>
            </w:tcBorders>
            <w:vAlign w:val="center"/>
            <w:hideMark/>
          </w:tcPr>
          <w:p w14:paraId="5E68017B"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0,0% do 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0DBC3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r>
      <w:tr w:rsidR="005F75F7" w:rsidRPr="005F75F7" w14:paraId="32A9CAB6"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6510C5F4"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3181" w:type="dxa"/>
            <w:tcBorders>
              <w:top w:val="single" w:sz="4" w:space="0" w:color="auto"/>
              <w:left w:val="single" w:sz="4" w:space="0" w:color="auto"/>
              <w:bottom w:val="single" w:sz="4" w:space="0" w:color="auto"/>
              <w:right w:val="single" w:sz="4" w:space="0" w:color="auto"/>
            </w:tcBorders>
            <w:vAlign w:val="center"/>
            <w:hideMark/>
          </w:tcPr>
          <w:p w14:paraId="4F8714A8"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2,0% do 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3043E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r>
      <w:tr w:rsidR="005F75F7" w:rsidRPr="005F75F7" w14:paraId="5278BB27"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36D2812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3181" w:type="dxa"/>
            <w:tcBorders>
              <w:top w:val="single" w:sz="4" w:space="0" w:color="auto"/>
              <w:left w:val="single" w:sz="4" w:space="0" w:color="auto"/>
              <w:bottom w:val="single" w:sz="4" w:space="0" w:color="auto"/>
              <w:right w:val="single" w:sz="4" w:space="0" w:color="auto"/>
            </w:tcBorders>
            <w:vAlign w:val="center"/>
            <w:hideMark/>
          </w:tcPr>
          <w:p w14:paraId="44B0C719"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D2EA7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5</w:t>
            </w:r>
          </w:p>
        </w:tc>
      </w:tr>
    </w:tbl>
    <w:p w14:paraId="7CB0B9A8" w14:textId="77777777" w:rsidR="005F75F7" w:rsidRPr="005F75F7" w:rsidRDefault="005F75F7" w:rsidP="005F75F7">
      <w:pPr>
        <w:spacing w:before="240" w:after="24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zyskowności netto (%) pokazuje jaką część przychodów stanowi odnotowany zysk lub strata. W ten sposób jest określona efektywność gospodarki finansowej w odniesieniu do relacji przychody ogółem – koszty ogółem podmiotu.</w:t>
      </w:r>
    </w:p>
    <w:p w14:paraId="22CF50DA" w14:textId="059DC144" w:rsidR="005F75F7" w:rsidRPr="005F75F7" w:rsidRDefault="005F75F7" w:rsidP="005F75F7">
      <w:pPr>
        <w:spacing w:after="120" w:line="276" w:lineRule="auto"/>
        <w:jc w:val="both"/>
        <w:rPr>
          <w:rFonts w:ascii="Arial" w:eastAsia="Times New Roman" w:hAnsi="Arial" w:cs="Arial"/>
          <w:sz w:val="24"/>
          <w:szCs w:val="24"/>
          <w:lang w:eastAsia="pl-PL"/>
        </w:rPr>
        <w:sectPr w:rsidR="005F75F7" w:rsidRPr="005F75F7" w:rsidSect="00D902FC">
          <w:footerReference w:type="default" r:id="rId9"/>
          <w:pgSz w:w="11906" w:h="16838"/>
          <w:pgMar w:top="1417" w:right="1417" w:bottom="1417" w:left="1417" w:header="708" w:footer="708" w:gutter="0"/>
          <w:cols w:space="708"/>
          <w:docGrid w:linePitch="360"/>
        </w:sectPr>
      </w:pPr>
      <w:r w:rsidRPr="005F75F7">
        <w:rPr>
          <w:rFonts w:ascii="Arial" w:eastAsia="Times New Roman" w:hAnsi="Arial" w:cs="Arial"/>
          <w:sz w:val="24"/>
          <w:szCs w:val="24"/>
          <w:lang w:eastAsia="pl-PL"/>
        </w:rPr>
        <w:t xml:space="preserve">Za 2022 r. maksymalną ilość punktów (5 pkt) osiągnął Wojewódzki Zespół Specjalistyczny w  Rzeszowie oraz Wojewódzki Ośrodek Terapii Uzależnienia </w:t>
      </w:r>
      <w:r w:rsidR="00134A1C">
        <w:rPr>
          <w:rFonts w:ascii="Arial" w:eastAsia="Times New Roman" w:hAnsi="Arial" w:cs="Arial"/>
          <w:sz w:val="24"/>
          <w:szCs w:val="24"/>
          <w:lang w:eastAsia="pl-PL"/>
        </w:rPr>
        <w:br/>
      </w:r>
      <w:r w:rsidRPr="005F75F7">
        <w:rPr>
          <w:rFonts w:ascii="Arial" w:eastAsia="Times New Roman" w:hAnsi="Arial" w:cs="Arial"/>
          <w:sz w:val="24"/>
          <w:szCs w:val="24"/>
          <w:lang w:eastAsia="pl-PL"/>
        </w:rPr>
        <w:t>od Alkoholu i Współuzależnienia w Stalowej Woli</w:t>
      </w:r>
      <w:r w:rsidR="00D902FC">
        <w:rPr>
          <w:rFonts w:ascii="Arial" w:eastAsia="Times New Roman" w:hAnsi="Arial" w:cs="Arial"/>
          <w:sz w:val="24"/>
          <w:szCs w:val="24"/>
          <w:lang w:eastAsia="pl-PL"/>
        </w:rPr>
        <w:t>.</w:t>
      </w:r>
      <w:r w:rsidRPr="005F75F7">
        <w:rPr>
          <w:rFonts w:ascii="Arial" w:eastAsia="Times New Roman" w:hAnsi="Arial" w:cs="Arial"/>
          <w:sz w:val="24"/>
          <w:szCs w:val="24"/>
          <w:lang w:eastAsia="pl-PL"/>
        </w:rPr>
        <w:t xml:space="preserve">  </w:t>
      </w:r>
    </w:p>
    <w:p w14:paraId="065D878D" w14:textId="77777777" w:rsidR="005F75F7" w:rsidRPr="005F75F7" w:rsidRDefault="005F75F7" w:rsidP="005F75F7">
      <w:pPr>
        <w:spacing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lastRenderedPageBreak/>
        <w:t>Jeden punkt mniej osiągnęli: Specjalistyczny Psychiatryczny Zespół Opieki Zdrowotnej w Jarosławiu,</w:t>
      </w:r>
      <w:r w:rsidRPr="005F75F7">
        <w:rPr>
          <w:rFonts w:eastAsiaTheme="minorEastAsia"/>
          <w:sz w:val="21"/>
          <w:szCs w:val="21"/>
        </w:rPr>
        <w:t xml:space="preserve"> </w:t>
      </w:r>
      <w:r w:rsidRPr="005F75F7">
        <w:rPr>
          <w:rFonts w:ascii="Arial" w:eastAsia="Times New Roman" w:hAnsi="Arial" w:cs="Arial"/>
          <w:sz w:val="24"/>
          <w:szCs w:val="24"/>
          <w:lang w:eastAsia="pl-PL"/>
        </w:rPr>
        <w:t>Wojewódzki Ośrodek Terapii Uzależnień w Rzeszowie, Wojewódzka Stacja Pogotowia Ratunkowego w Przemyślu SPZOZ.</w:t>
      </w:r>
    </w:p>
    <w:p w14:paraId="4D25E338" w14:textId="77777777" w:rsidR="005F75F7" w:rsidRPr="005F75F7" w:rsidRDefault="005F75F7" w:rsidP="005F75F7">
      <w:pPr>
        <w:spacing w:after="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Natomiast Kliniczny Szpital Wojewódzki Nr 2  im. Św. Jadwigi Królowej w Rzeszowie, Wojewódzki Szpital im. Św. Ojca Pio w Przemyślu, Wojewódzka Stacja Pogotowia Ratunkowego w Rzeszowie, Podkarpackie Centrum Medyczne w Rzeszowie SP ZOZ, Wojewódzki Ośrodek Medycyny Pracy w Rzeszowie osiągnęli po 3 pkt.</w:t>
      </w:r>
    </w:p>
    <w:p w14:paraId="418AC19F" w14:textId="77777777" w:rsidR="005F75F7" w:rsidRPr="005F75F7" w:rsidRDefault="005F75F7" w:rsidP="005F75F7">
      <w:pPr>
        <w:spacing w:after="240" w:line="276" w:lineRule="auto"/>
        <w:jc w:val="both"/>
        <w:rPr>
          <w:rFonts w:ascii="Arial" w:eastAsia="Times New Roman" w:hAnsi="Arial" w:cs="Arial"/>
          <w:sz w:val="24"/>
          <w:szCs w:val="24"/>
          <w:lang w:eastAsia="pl-PL"/>
        </w:rPr>
      </w:pPr>
      <w:bookmarkStart w:id="4" w:name="_Hlk148426089"/>
      <w:r w:rsidRPr="005F75F7">
        <w:rPr>
          <w:rFonts w:ascii="Arial" w:eastAsia="Times New Roman" w:hAnsi="Arial" w:cs="Arial"/>
          <w:sz w:val="24"/>
          <w:szCs w:val="24"/>
          <w:lang w:eastAsia="pl-PL"/>
        </w:rPr>
        <w:t>W Szpitalach w Krośnie i Tarnobrzegu oraz w Żurawicy  uzyskano 0 pkt</w:t>
      </w:r>
      <w:bookmarkEnd w:id="4"/>
      <w:r w:rsidRPr="005F75F7">
        <w:rPr>
          <w:rFonts w:ascii="Arial" w:eastAsia="Times New Roman" w:hAnsi="Arial" w:cs="Arial"/>
          <w:sz w:val="24"/>
          <w:szCs w:val="24"/>
          <w:lang w:eastAsia="pl-PL"/>
        </w:rPr>
        <w:t xml:space="preserve">, co </w:t>
      </w:r>
      <w:r w:rsidRPr="005F75F7">
        <w:rPr>
          <w:rFonts w:ascii="Arial" w:eastAsiaTheme="minorEastAsia" w:hAnsi="Arial" w:cs="Arial"/>
          <w:sz w:val="24"/>
          <w:szCs w:val="24"/>
        </w:rPr>
        <w:t>świadczy o braku równowagi pomiędzy przychodami a kosztami i wynika z wygenerowania straty netto za 2022 rok.</w:t>
      </w:r>
    </w:p>
    <w:p w14:paraId="0332C848" w14:textId="77777777" w:rsidR="005F75F7" w:rsidRPr="005F75F7" w:rsidRDefault="005F75F7" w:rsidP="00D902FC">
      <w:pPr>
        <w:pStyle w:val="Nagwek3"/>
      </w:pPr>
      <w:r w:rsidRPr="005F75F7">
        <w:t>wskaźnik zyskowności działalności operacyjnej (%) =</w:t>
      </w:r>
    </w:p>
    <w:tbl>
      <w:tblPr>
        <w:tblW w:w="9028"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wskaźnik zyskowności działalności operacyjnej  to wynik z działalności operacyjnej razy 100% podzielony przez sumę przychodów netto ze sprzedaży produktów, przychodów netto ze sprzedaży towarów imateriałów, pozostałych przychodów operacyjnych"/>
      </w:tblPr>
      <w:tblGrid>
        <w:gridCol w:w="9028"/>
      </w:tblGrid>
      <w:tr w:rsidR="005F75F7" w:rsidRPr="005F75F7" w14:paraId="28A87F2E" w14:textId="77777777" w:rsidTr="00D902FC">
        <w:trPr>
          <w:trHeight w:val="236"/>
        </w:trPr>
        <w:tc>
          <w:tcPr>
            <w:tcW w:w="9001" w:type="dxa"/>
            <w:vAlign w:val="center"/>
            <w:hideMark/>
          </w:tcPr>
          <w:p w14:paraId="4E3A2BA0"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Wynik z działalności operacyjnej x 100%</w:t>
            </w:r>
          </w:p>
        </w:tc>
      </w:tr>
      <w:tr w:rsidR="005F75F7" w:rsidRPr="005F75F7" w14:paraId="72881048" w14:textId="77777777" w:rsidTr="00D902FC">
        <w:trPr>
          <w:trHeight w:val="358"/>
        </w:trPr>
        <w:tc>
          <w:tcPr>
            <w:tcW w:w="9001" w:type="dxa"/>
            <w:vAlign w:val="center"/>
            <w:hideMark/>
          </w:tcPr>
          <w:p w14:paraId="6323E153" w14:textId="77777777" w:rsidR="005F75F7" w:rsidRPr="005F75F7" w:rsidRDefault="005F75F7" w:rsidP="005F75F7">
            <w:pPr>
              <w:spacing w:after="24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Przychody netto ze sprzedaży produktów + przychody netto ze sprzedaży towarów i materiałów + pozostałe przychody operacyjne</w:t>
            </w:r>
          </w:p>
        </w:tc>
      </w:tr>
    </w:tbl>
    <w:p w14:paraId="5D253374" w14:textId="0837D921" w:rsidR="00D902FC" w:rsidRDefault="00D902FC" w:rsidP="00D902FC">
      <w:pPr>
        <w:pStyle w:val="Legenda"/>
        <w:keepNext/>
      </w:pPr>
      <w:r>
        <w:t xml:space="preserve">Tabela </w:t>
      </w:r>
      <w:fldSimple w:instr=" SEQ Tabela \* ARABIC ">
        <w:r w:rsidR="00FA0C2D">
          <w:rPr>
            <w:noProof/>
          </w:rPr>
          <w:t>2</w:t>
        </w:r>
      </w:fldSimple>
      <w:r>
        <w:t xml:space="preserve">. </w:t>
      </w:r>
      <w:r w:rsidRPr="00D902FC">
        <w:t>Przedziały wartości i ocena punktowa wskaźnika zyskowności działalności operacyjnej</w:t>
      </w:r>
      <w:r>
        <w:t>.</w:t>
      </w:r>
    </w:p>
    <w:tbl>
      <w:tblPr>
        <w:tblW w:w="5529" w:type="dxa"/>
        <w:tblInd w:w="-5" w:type="dxa"/>
        <w:tblCellMar>
          <w:top w:w="15" w:type="dxa"/>
          <w:left w:w="15" w:type="dxa"/>
          <w:bottom w:w="15" w:type="dxa"/>
          <w:right w:w="15" w:type="dxa"/>
        </w:tblCellMar>
        <w:tblLook w:val="04A0" w:firstRow="1" w:lastRow="0" w:firstColumn="1" w:lastColumn="0" w:noHBand="0" w:noVBand="1"/>
        <w:tblCaption w:val="Tabela 2. Przedziały wartości i ocena punktowa wskaźnika zyskowności działalności operacyjnej."/>
        <w:tblDescription w:val="Tabela zawiera: liczbę porządkową, przedziały wartości, ocenę punktową."/>
      </w:tblPr>
      <w:tblGrid>
        <w:gridCol w:w="788"/>
        <w:gridCol w:w="2898"/>
        <w:gridCol w:w="1843"/>
      </w:tblGrid>
      <w:tr w:rsidR="005F75F7" w:rsidRPr="005F75F7" w14:paraId="2131FEF6"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4768DAE5"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CA2677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75B9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6CB0F37E"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160ED8F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2898" w:type="dxa"/>
            <w:tcBorders>
              <w:top w:val="single" w:sz="4" w:space="0" w:color="auto"/>
              <w:left w:val="single" w:sz="4" w:space="0" w:color="auto"/>
              <w:bottom w:val="single" w:sz="4" w:space="0" w:color="auto"/>
              <w:right w:val="single" w:sz="4" w:space="0" w:color="auto"/>
            </w:tcBorders>
            <w:vAlign w:val="center"/>
            <w:hideMark/>
          </w:tcPr>
          <w:p w14:paraId="52A56A85"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F4496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r w:rsidR="005F75F7" w:rsidRPr="005F75F7" w14:paraId="6571C903"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5B7A2B5F"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2898" w:type="dxa"/>
            <w:tcBorders>
              <w:top w:val="single" w:sz="4" w:space="0" w:color="auto"/>
              <w:left w:val="single" w:sz="4" w:space="0" w:color="auto"/>
              <w:bottom w:val="single" w:sz="4" w:space="0" w:color="auto"/>
              <w:right w:val="single" w:sz="4" w:space="0" w:color="auto"/>
            </w:tcBorders>
            <w:vAlign w:val="center"/>
            <w:hideMark/>
          </w:tcPr>
          <w:p w14:paraId="78DECC6D"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0,0% do 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55678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r>
      <w:tr w:rsidR="005F75F7" w:rsidRPr="005F75F7" w14:paraId="7EE6BC58"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5939548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2898" w:type="dxa"/>
            <w:tcBorders>
              <w:top w:val="single" w:sz="4" w:space="0" w:color="auto"/>
              <w:left w:val="single" w:sz="4" w:space="0" w:color="auto"/>
              <w:bottom w:val="single" w:sz="4" w:space="0" w:color="auto"/>
              <w:right w:val="single" w:sz="4" w:space="0" w:color="auto"/>
            </w:tcBorders>
            <w:vAlign w:val="center"/>
            <w:hideMark/>
          </w:tcPr>
          <w:p w14:paraId="076D849C"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3,0% do 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8510E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r>
      <w:tr w:rsidR="005F75F7" w:rsidRPr="005F75F7" w14:paraId="10A0AFE5"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74D465E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356BC38"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7F6DB7"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5</w:t>
            </w:r>
          </w:p>
        </w:tc>
      </w:tr>
    </w:tbl>
    <w:p w14:paraId="7F889052" w14:textId="77777777" w:rsidR="005F75F7" w:rsidRPr="005F75F7" w:rsidRDefault="005F75F7" w:rsidP="005F75F7">
      <w:pPr>
        <w:spacing w:before="240" w:after="24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zyskowności działalności operacyjnej (%) określa ekonomiczną efektywność działania podmiotu, z uwzględnieniem działalności podstawowej oraz pozostałej działalności operacyjnej.</w:t>
      </w:r>
    </w:p>
    <w:p w14:paraId="3515A4F8" w14:textId="77777777" w:rsidR="005F75F7" w:rsidRPr="005F75F7" w:rsidRDefault="005F75F7" w:rsidP="005F75F7">
      <w:pPr>
        <w:spacing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 xml:space="preserve">Maksymalną ilość punktów wynoszącą 5 osiągnął Wojewódzki Zespół Specjalistyczny w Rzeszowie. </w:t>
      </w:r>
    </w:p>
    <w:p w14:paraId="1A66940A" w14:textId="77777777" w:rsidR="005F75F7" w:rsidRPr="005F75F7" w:rsidRDefault="005F75F7" w:rsidP="005F75F7">
      <w:pPr>
        <w:spacing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Jeden punkt mniej uzyskali: Specjalistyczny Psychiatryczny Zespół Opieki Zdrowotnej w Jarosławiu,</w:t>
      </w:r>
      <w:r w:rsidRPr="005F75F7">
        <w:rPr>
          <w:rFonts w:eastAsiaTheme="minorEastAsia"/>
          <w:sz w:val="21"/>
          <w:szCs w:val="21"/>
        </w:rPr>
        <w:t xml:space="preserve"> </w:t>
      </w:r>
      <w:r w:rsidRPr="005F75F7">
        <w:rPr>
          <w:rFonts w:ascii="Arial" w:eastAsia="Times New Roman" w:hAnsi="Arial" w:cs="Arial"/>
          <w:sz w:val="24"/>
          <w:szCs w:val="24"/>
          <w:lang w:eastAsia="pl-PL"/>
        </w:rPr>
        <w:t>Wojewódzki Ośrodek Terapii Uzależnień w Rzeszowie,</w:t>
      </w:r>
      <w:r w:rsidRPr="005F75F7">
        <w:rPr>
          <w:rFonts w:eastAsiaTheme="minorEastAsia"/>
          <w:sz w:val="21"/>
          <w:szCs w:val="21"/>
        </w:rPr>
        <w:t xml:space="preserve"> </w:t>
      </w:r>
      <w:r w:rsidRPr="005F75F7">
        <w:rPr>
          <w:rFonts w:ascii="Arial" w:eastAsia="Times New Roman" w:hAnsi="Arial" w:cs="Arial"/>
          <w:sz w:val="24"/>
          <w:szCs w:val="24"/>
          <w:lang w:eastAsia="pl-PL"/>
        </w:rPr>
        <w:t>Wojewódzki Ośrodek Terapii Uzależnienia od Alkoholu i Współuzależnienia w Stalowej Woli, Wojewódzka Stacja Pogotowia Ratunkowego w Przemyślu SPZOZ.</w:t>
      </w:r>
    </w:p>
    <w:p w14:paraId="6C4A0438" w14:textId="2152CF0A" w:rsidR="005F75F7" w:rsidRPr="005F75F7" w:rsidRDefault="005F75F7" w:rsidP="005F75F7">
      <w:pPr>
        <w:spacing w:after="240" w:line="276" w:lineRule="auto"/>
        <w:jc w:val="both"/>
        <w:rPr>
          <w:rFonts w:ascii="Arial" w:eastAsia="Times New Roman" w:hAnsi="Arial" w:cs="Arial"/>
          <w:sz w:val="24"/>
          <w:szCs w:val="24"/>
          <w:lang w:eastAsia="pl-PL"/>
        </w:rPr>
        <w:sectPr w:rsidR="005F75F7" w:rsidRPr="005F75F7" w:rsidSect="00D902FC">
          <w:pgSz w:w="11906" w:h="16838"/>
          <w:pgMar w:top="1417" w:right="1417" w:bottom="1417" w:left="1417" w:header="708" w:footer="708" w:gutter="0"/>
          <w:cols w:space="708"/>
          <w:docGrid w:linePitch="360"/>
        </w:sectPr>
      </w:pPr>
      <w:r w:rsidRPr="005F75F7">
        <w:rPr>
          <w:rFonts w:ascii="Arial" w:eastAsia="Times New Roman" w:hAnsi="Arial" w:cs="Arial"/>
          <w:sz w:val="24"/>
          <w:szCs w:val="24"/>
          <w:lang w:eastAsia="pl-PL"/>
        </w:rPr>
        <w:t>Natomiast: Kliniczny Szpital Wojewódzki Nr 2  im. Św. Jadwigi Królowej w Rzeszowie, Wojewódzki Szpital im. Św. Ojca Pio w Przemyślu, Wojewódzka Stacja Pogotowia Ratunkowego w Rzeszowie, Podkarpackie Centrum Medyczne w Rzeszowie SP ZOZ, Wojewódzki Ośrodek Medycyny Pracy w Rzeszowie osiągnęli po 3 pkt. W Szpitalach w Krośnie i Tarnobrzegu oraz w Żurawicy uzyskano 0 pkt.</w:t>
      </w:r>
    </w:p>
    <w:p w14:paraId="6E90C836" w14:textId="77777777" w:rsidR="005F75F7" w:rsidRPr="005F75F7" w:rsidRDefault="005F75F7" w:rsidP="00D902FC">
      <w:pPr>
        <w:pStyle w:val="Nagwek3"/>
      </w:pPr>
      <w:r w:rsidRPr="005F75F7">
        <w:lastRenderedPageBreak/>
        <w:t>wskaźnik zyskowności aktywów (%) =</w:t>
      </w:r>
    </w:p>
    <w:tbl>
      <w:tblPr>
        <w:tblW w:w="3402" w:type="dxa"/>
        <w:jc w:val="center"/>
        <w:tblCellMar>
          <w:top w:w="15" w:type="dxa"/>
          <w:left w:w="15" w:type="dxa"/>
          <w:bottom w:w="15" w:type="dxa"/>
          <w:right w:w="15" w:type="dxa"/>
        </w:tblCellMar>
        <w:tblLook w:val="04A0" w:firstRow="1" w:lastRow="0" w:firstColumn="1" w:lastColumn="0" w:noHBand="0" w:noVBand="1"/>
        <w:tblDescription w:val="wsakźnik zyskowności aktywów to wynik netto razy 100% podzielony przez średni stan aktywów"/>
      </w:tblPr>
      <w:tblGrid>
        <w:gridCol w:w="144"/>
        <w:gridCol w:w="3258"/>
      </w:tblGrid>
      <w:tr w:rsidR="005F75F7" w:rsidRPr="005F75F7" w14:paraId="52DFD3E4" w14:textId="77777777" w:rsidTr="00D902FC">
        <w:trPr>
          <w:jc w:val="center"/>
        </w:trPr>
        <w:tc>
          <w:tcPr>
            <w:tcW w:w="0" w:type="auto"/>
            <w:tcBorders>
              <w:bottom w:val="nil"/>
              <w:right w:val="nil"/>
            </w:tcBorders>
            <w:vAlign w:val="center"/>
            <w:hideMark/>
          </w:tcPr>
          <w:p w14:paraId="435DA0CD" w14:textId="77777777" w:rsidR="005F75F7" w:rsidRPr="005F75F7" w:rsidRDefault="005F75F7" w:rsidP="005F75F7">
            <w:pPr>
              <w:spacing w:after="0" w:line="276" w:lineRule="auto"/>
              <w:jc w:val="both"/>
              <w:rPr>
                <w:rFonts w:ascii="Arial" w:eastAsia="Times New Roman" w:hAnsi="Arial" w:cs="Arial"/>
                <w:sz w:val="21"/>
                <w:szCs w:val="21"/>
                <w:lang w:eastAsia="pl-PL"/>
              </w:rPr>
            </w:pPr>
          </w:p>
        </w:tc>
        <w:tc>
          <w:tcPr>
            <w:tcW w:w="3258" w:type="dxa"/>
            <w:tcBorders>
              <w:bottom w:val="single" w:sz="4" w:space="0" w:color="auto"/>
              <w:right w:val="nil"/>
            </w:tcBorders>
            <w:vAlign w:val="center"/>
            <w:hideMark/>
          </w:tcPr>
          <w:p w14:paraId="79EEA293"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Wynik netto x 100%</w:t>
            </w:r>
          </w:p>
        </w:tc>
      </w:tr>
      <w:tr w:rsidR="005F75F7" w:rsidRPr="005F75F7" w14:paraId="380166AC" w14:textId="77777777" w:rsidTr="00D902FC">
        <w:trPr>
          <w:jc w:val="center"/>
        </w:trPr>
        <w:tc>
          <w:tcPr>
            <w:tcW w:w="0" w:type="auto"/>
            <w:tcBorders>
              <w:right w:val="nil"/>
            </w:tcBorders>
            <w:vAlign w:val="center"/>
            <w:hideMark/>
          </w:tcPr>
          <w:p w14:paraId="6FD0C0A5" w14:textId="77777777" w:rsidR="005F75F7" w:rsidRPr="005F75F7" w:rsidRDefault="005F75F7" w:rsidP="005F75F7">
            <w:pPr>
              <w:spacing w:after="0" w:line="276" w:lineRule="auto"/>
              <w:jc w:val="both"/>
              <w:rPr>
                <w:rFonts w:ascii="Arial" w:eastAsia="Times New Roman" w:hAnsi="Arial" w:cs="Arial"/>
                <w:sz w:val="21"/>
                <w:szCs w:val="21"/>
                <w:lang w:eastAsia="pl-PL"/>
              </w:rPr>
            </w:pPr>
          </w:p>
        </w:tc>
        <w:tc>
          <w:tcPr>
            <w:tcW w:w="3258" w:type="dxa"/>
            <w:tcBorders>
              <w:top w:val="single" w:sz="4" w:space="0" w:color="auto"/>
              <w:right w:val="nil"/>
            </w:tcBorders>
            <w:vAlign w:val="center"/>
            <w:hideMark/>
          </w:tcPr>
          <w:p w14:paraId="367B6C95"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Średni stan aktywów</w:t>
            </w:r>
          </w:p>
        </w:tc>
      </w:tr>
    </w:tbl>
    <w:p w14:paraId="28CCA675" w14:textId="77777777" w:rsidR="005F75F7" w:rsidRPr="005F75F7" w:rsidRDefault="005F75F7" w:rsidP="005F75F7">
      <w:pPr>
        <w:spacing w:before="120" w:after="100" w:afterAutospacing="1" w:line="276" w:lineRule="auto"/>
        <w:jc w:val="both"/>
        <w:rPr>
          <w:rFonts w:ascii="Arial" w:eastAsia="Times New Roman" w:hAnsi="Arial" w:cs="Arial"/>
          <w:i/>
          <w:iCs/>
          <w:sz w:val="24"/>
          <w:szCs w:val="24"/>
          <w:lang w:eastAsia="pl-PL"/>
        </w:rPr>
      </w:pPr>
      <w:r w:rsidRPr="005F75F7">
        <w:rPr>
          <w:rFonts w:ascii="Arial" w:eastAsia="Times New Roman" w:hAnsi="Arial" w:cs="Arial"/>
          <w:i/>
          <w:iCs/>
          <w:sz w:val="24"/>
          <w:szCs w:val="24"/>
          <w:lang w:eastAsia="pl-PL"/>
        </w:rPr>
        <w:t>gdzie średni stan aktywów to suma aktywów razem na koniec poprzedniego roku obrotowego i aktywów razem na koniec bieżącego roku obrotowego podzielona przez 2.</w:t>
      </w:r>
    </w:p>
    <w:p w14:paraId="6C0A0C6B" w14:textId="6E281F47" w:rsidR="00D902FC" w:rsidRDefault="00D902FC" w:rsidP="00D902FC">
      <w:pPr>
        <w:pStyle w:val="Legenda"/>
        <w:keepNext/>
      </w:pPr>
      <w:r>
        <w:t xml:space="preserve">Tabela </w:t>
      </w:r>
      <w:fldSimple w:instr=" SEQ Tabela \* ARABIC ">
        <w:r w:rsidR="00FA0C2D">
          <w:rPr>
            <w:noProof/>
          </w:rPr>
          <w:t>3</w:t>
        </w:r>
      </w:fldSimple>
      <w:r>
        <w:t xml:space="preserve">. </w:t>
      </w:r>
      <w:r w:rsidRPr="00D902FC">
        <w:t>Przedziały wartości i ocena punktowa dla wskaźnika zyskowności aktywów</w:t>
      </w:r>
      <w:r>
        <w:t>.</w:t>
      </w:r>
    </w:p>
    <w:tbl>
      <w:tblPr>
        <w:tblW w:w="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ela 3. Przedziały wartości i ocena punktowa dla wskaźnika zyskowności aktywów"/>
        <w:tblDescription w:val="Tabela zawiera: liczbę porządkową, przedziały wartości, ocenę punktową."/>
      </w:tblPr>
      <w:tblGrid>
        <w:gridCol w:w="899"/>
        <w:gridCol w:w="3207"/>
        <w:gridCol w:w="2097"/>
      </w:tblGrid>
      <w:tr w:rsidR="005F75F7" w:rsidRPr="005F75F7" w14:paraId="5059BA8A" w14:textId="77777777" w:rsidTr="00D902FC">
        <w:trPr>
          <w:trHeight w:val="340"/>
        </w:trPr>
        <w:tc>
          <w:tcPr>
            <w:tcW w:w="0" w:type="auto"/>
            <w:vAlign w:val="center"/>
            <w:hideMark/>
          </w:tcPr>
          <w:p w14:paraId="6F484485"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3207" w:type="dxa"/>
            <w:tcBorders>
              <w:top w:val="single" w:sz="4" w:space="0" w:color="auto"/>
              <w:left w:val="single" w:sz="4" w:space="0" w:color="auto"/>
              <w:bottom w:val="single" w:sz="4" w:space="0" w:color="auto"/>
              <w:right w:val="single" w:sz="4" w:space="0" w:color="auto"/>
            </w:tcBorders>
            <w:vAlign w:val="center"/>
            <w:hideMark/>
          </w:tcPr>
          <w:p w14:paraId="427995EE"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D79AFC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6BA12030" w14:textId="77777777" w:rsidTr="00D902FC">
        <w:trPr>
          <w:trHeight w:val="340"/>
        </w:trPr>
        <w:tc>
          <w:tcPr>
            <w:tcW w:w="0" w:type="auto"/>
            <w:vAlign w:val="center"/>
            <w:hideMark/>
          </w:tcPr>
          <w:p w14:paraId="1D561807"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3207" w:type="dxa"/>
            <w:vAlign w:val="center"/>
            <w:hideMark/>
          </w:tcPr>
          <w:p w14:paraId="0AE47A7F"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0,0%</w:t>
            </w:r>
          </w:p>
        </w:tc>
        <w:tc>
          <w:tcPr>
            <w:tcW w:w="2097" w:type="dxa"/>
            <w:vAlign w:val="center"/>
            <w:hideMark/>
          </w:tcPr>
          <w:p w14:paraId="7A3C053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r w:rsidR="005F75F7" w:rsidRPr="005F75F7" w14:paraId="06CBA022" w14:textId="77777777" w:rsidTr="00D902FC">
        <w:trPr>
          <w:trHeight w:val="340"/>
        </w:trPr>
        <w:tc>
          <w:tcPr>
            <w:tcW w:w="0" w:type="auto"/>
            <w:vAlign w:val="center"/>
            <w:hideMark/>
          </w:tcPr>
          <w:p w14:paraId="1F5CD28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3207" w:type="dxa"/>
            <w:vAlign w:val="center"/>
            <w:hideMark/>
          </w:tcPr>
          <w:p w14:paraId="4705D0C6"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0,0% do 2,0%</w:t>
            </w:r>
          </w:p>
        </w:tc>
        <w:tc>
          <w:tcPr>
            <w:tcW w:w="2097" w:type="dxa"/>
            <w:vAlign w:val="center"/>
            <w:hideMark/>
          </w:tcPr>
          <w:p w14:paraId="4527113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r>
      <w:tr w:rsidR="005F75F7" w:rsidRPr="005F75F7" w14:paraId="270FD718" w14:textId="77777777" w:rsidTr="00D902FC">
        <w:trPr>
          <w:trHeight w:val="340"/>
        </w:trPr>
        <w:tc>
          <w:tcPr>
            <w:tcW w:w="0" w:type="auto"/>
            <w:vAlign w:val="center"/>
            <w:hideMark/>
          </w:tcPr>
          <w:p w14:paraId="4CCADA3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3207" w:type="dxa"/>
            <w:vAlign w:val="center"/>
            <w:hideMark/>
          </w:tcPr>
          <w:p w14:paraId="1D227415"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2,0% do 4,0%</w:t>
            </w:r>
          </w:p>
        </w:tc>
        <w:tc>
          <w:tcPr>
            <w:tcW w:w="2097" w:type="dxa"/>
            <w:vAlign w:val="center"/>
            <w:hideMark/>
          </w:tcPr>
          <w:p w14:paraId="4DCC0605"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r>
      <w:tr w:rsidR="005F75F7" w:rsidRPr="005F75F7" w14:paraId="3BF834DE" w14:textId="77777777" w:rsidTr="00D902FC">
        <w:trPr>
          <w:trHeight w:val="340"/>
        </w:trPr>
        <w:tc>
          <w:tcPr>
            <w:tcW w:w="0" w:type="auto"/>
            <w:vAlign w:val="center"/>
            <w:hideMark/>
          </w:tcPr>
          <w:p w14:paraId="25BB6F1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3207" w:type="dxa"/>
            <w:vAlign w:val="center"/>
            <w:hideMark/>
          </w:tcPr>
          <w:p w14:paraId="22A08D42"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4,0%</w:t>
            </w:r>
          </w:p>
        </w:tc>
        <w:tc>
          <w:tcPr>
            <w:tcW w:w="2097" w:type="dxa"/>
            <w:vAlign w:val="center"/>
            <w:hideMark/>
          </w:tcPr>
          <w:p w14:paraId="0457EBA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5</w:t>
            </w:r>
          </w:p>
        </w:tc>
      </w:tr>
    </w:tbl>
    <w:p w14:paraId="3C110243" w14:textId="77777777" w:rsidR="005F75F7" w:rsidRPr="005F75F7" w:rsidRDefault="005F75F7" w:rsidP="005F75F7">
      <w:pPr>
        <w:spacing w:before="240"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zyskowności aktywów</w:t>
      </w:r>
      <w:r w:rsidRPr="005F75F7">
        <w:rPr>
          <w:rFonts w:ascii="Arial" w:eastAsia="Times New Roman" w:hAnsi="Arial" w:cs="Arial"/>
          <w:b/>
          <w:sz w:val="24"/>
          <w:szCs w:val="24"/>
          <w:lang w:eastAsia="pl-PL"/>
        </w:rPr>
        <w:t xml:space="preserve"> </w:t>
      </w:r>
      <w:r w:rsidRPr="005F75F7">
        <w:rPr>
          <w:rFonts w:ascii="Arial" w:eastAsia="Times New Roman" w:hAnsi="Arial" w:cs="Arial"/>
          <w:sz w:val="24"/>
          <w:szCs w:val="24"/>
          <w:lang w:eastAsia="pl-PL"/>
        </w:rPr>
        <w:t>(%) informuje o wielkości zysku lub straty przypadającej na jednostkę wartości zaangażowanych w podmiocie aktywów, czyli wyznacza on ogólną zdolność aktywów podmiotu do generowania zysku.</w:t>
      </w:r>
    </w:p>
    <w:p w14:paraId="7390A778" w14:textId="77777777" w:rsidR="005F75F7" w:rsidRPr="005F75F7" w:rsidRDefault="005F75F7" w:rsidP="005F75F7">
      <w:pPr>
        <w:spacing w:after="120" w:line="264" w:lineRule="auto"/>
        <w:jc w:val="both"/>
        <w:rPr>
          <w:rFonts w:ascii="Arial" w:eastAsiaTheme="minorEastAsia" w:hAnsi="Arial" w:cs="Arial"/>
          <w:sz w:val="24"/>
          <w:szCs w:val="24"/>
        </w:rPr>
      </w:pPr>
      <w:r w:rsidRPr="005F75F7">
        <w:rPr>
          <w:rFonts w:ascii="Arial" w:eastAsiaTheme="minorEastAsia" w:hAnsi="Arial" w:cs="Arial"/>
          <w:sz w:val="24"/>
          <w:szCs w:val="24"/>
        </w:rPr>
        <w:t>Im wyższa jest wartość wskaźnika, tym korzystniejsza jest sytuacja finansowa podmiotu.</w:t>
      </w:r>
    </w:p>
    <w:p w14:paraId="0F758C5A" w14:textId="77777777" w:rsidR="005F75F7" w:rsidRPr="005F75F7" w:rsidRDefault="005F75F7" w:rsidP="005F75F7">
      <w:pPr>
        <w:spacing w:after="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 xml:space="preserve">Maksymalną ilość punktów osiągnął: Wojewódzki Ośrodek Medycyny Pracy w Rzeszowie, Wojewódzki Zespół Specjalistyczny w Rzeszowie, Wojewódzki Ośrodek Terapii Uzależnień w Rzeszowie, Wojewódzki Ośrodek Terapii Uzależnienia od Alkoholu i Współuzależnienia w Stalowej Woli, Wojewódzka Stacja Pogotowia Ratunkowego w Przemyślu SPZOZ. </w:t>
      </w:r>
    </w:p>
    <w:p w14:paraId="2B95FF96" w14:textId="7F550A52" w:rsidR="005F75F7" w:rsidRPr="005F75F7" w:rsidRDefault="005F75F7" w:rsidP="005F75F7">
      <w:pPr>
        <w:spacing w:after="120" w:line="264"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4 pkt uzyskali: Specjalistyczny Psychiatryczny Zespół Opieki Zdrowotnej w Jarosławiu, Kliniczny Szpital Wojewódzki Nr 2  im. Św. Jadwigi Królowej w Rzeszowie, Podkarpackie Centrum Medyczne w Rzeszowie SP ZOZ. Po 3 punkty otrzymały Wojewódzki Szpital im. Św. Ojca Pio w Przemyślu, Wojewódzka Stacja Pogotowia Ratunkowego w Rzeszowie</w:t>
      </w:r>
      <w:r w:rsidR="00D902FC">
        <w:rPr>
          <w:rFonts w:ascii="Arial" w:eastAsia="Times New Roman" w:hAnsi="Arial" w:cs="Arial"/>
          <w:sz w:val="24"/>
          <w:szCs w:val="24"/>
          <w:lang w:eastAsia="pl-PL"/>
        </w:rPr>
        <w:t>.</w:t>
      </w:r>
      <w:r w:rsidRPr="005F75F7">
        <w:rPr>
          <w:rFonts w:ascii="Arial" w:eastAsia="Times New Roman" w:hAnsi="Arial" w:cs="Arial"/>
          <w:sz w:val="24"/>
          <w:szCs w:val="24"/>
          <w:lang w:eastAsia="pl-PL"/>
        </w:rPr>
        <w:t xml:space="preserve"> </w:t>
      </w:r>
    </w:p>
    <w:p w14:paraId="347ADB62" w14:textId="7C79E3AC" w:rsidR="005F75F7" w:rsidRPr="005F75F7" w:rsidRDefault="005F75F7" w:rsidP="005F75F7">
      <w:pPr>
        <w:spacing w:after="360" w:line="264" w:lineRule="auto"/>
        <w:jc w:val="both"/>
        <w:rPr>
          <w:rFonts w:ascii="Arial" w:eastAsia="Times New Roman" w:hAnsi="Arial" w:cs="Arial"/>
          <w:b/>
          <w:bCs/>
          <w:sz w:val="24"/>
          <w:szCs w:val="24"/>
          <w:lang w:eastAsia="pl-PL"/>
        </w:rPr>
      </w:pPr>
      <w:r w:rsidRPr="005F75F7">
        <w:rPr>
          <w:rFonts w:ascii="Arial" w:eastAsiaTheme="minorEastAsia" w:hAnsi="Arial" w:cs="Arial"/>
          <w:sz w:val="24"/>
          <w:szCs w:val="24"/>
        </w:rPr>
        <w:t xml:space="preserve">Ze względu na stratę netto w 2022 r. </w:t>
      </w:r>
      <w:r w:rsidRPr="005F75F7">
        <w:rPr>
          <w:rFonts w:ascii="Arial" w:eastAsia="Times New Roman" w:hAnsi="Arial" w:cs="Arial"/>
          <w:sz w:val="24"/>
          <w:szCs w:val="24"/>
          <w:lang w:eastAsia="pl-PL"/>
        </w:rPr>
        <w:t xml:space="preserve">Szpitale w Krośnie i Tarnobrzegu oraz w Żurawicy </w:t>
      </w:r>
      <w:r w:rsidRPr="005F75F7">
        <w:rPr>
          <w:rFonts w:ascii="Arial" w:eastAsiaTheme="minorEastAsia" w:hAnsi="Arial" w:cs="Arial"/>
          <w:sz w:val="24"/>
          <w:szCs w:val="24"/>
        </w:rPr>
        <w:t>uzyskały ujemną wartość wskaźnika i 0 punktów.</w:t>
      </w:r>
    </w:p>
    <w:p w14:paraId="683F19CA" w14:textId="77777777" w:rsidR="005F75F7" w:rsidRPr="00060555" w:rsidRDefault="005F75F7" w:rsidP="00060555">
      <w:pPr>
        <w:pStyle w:val="Nagwek2"/>
      </w:pPr>
      <w:r w:rsidRPr="00060555">
        <w:t>Wskaźniki płynności</w:t>
      </w:r>
    </w:p>
    <w:p w14:paraId="57CD3665" w14:textId="635054CB" w:rsidR="005F75F7" w:rsidRPr="005F75F7" w:rsidRDefault="005F75F7" w:rsidP="005F75F7">
      <w:pPr>
        <w:spacing w:after="240" w:line="264" w:lineRule="auto"/>
        <w:jc w:val="both"/>
        <w:rPr>
          <w:rFonts w:ascii="Arial" w:eastAsia="Times New Roman" w:hAnsi="Arial" w:cs="Arial"/>
          <w:sz w:val="24"/>
          <w:szCs w:val="24"/>
          <w:lang w:eastAsia="pl-PL"/>
        </w:rPr>
        <w:sectPr w:rsidR="005F75F7" w:rsidRPr="005F75F7" w:rsidSect="00D902FC">
          <w:pgSz w:w="11906" w:h="16838"/>
          <w:pgMar w:top="1417" w:right="1417" w:bottom="1417" w:left="1417" w:header="708" w:footer="708" w:gutter="0"/>
          <w:cols w:space="708"/>
          <w:docGrid w:linePitch="360"/>
        </w:sectPr>
      </w:pPr>
      <w:r w:rsidRPr="005F75F7">
        <w:rPr>
          <w:rFonts w:ascii="Arial" w:eastAsia="Times New Roman" w:hAnsi="Arial" w:cs="Arial"/>
          <w:sz w:val="24"/>
          <w:szCs w:val="24"/>
          <w:lang w:eastAsia="pl-PL"/>
        </w:rPr>
        <w:t>Wskaźniki płynności określają zdolność podmiotu do terminowego regulowania zaciągniętych zobowiązań krótkoterminowych. Jeżeli poziom wskaźników obniża się, to występuje ryzyko utraty przez podmiot zdolności do terminowego regulowania zobowiązań. W przypadku gdy wskaźniki są zbyt wysokie, może to świadczyć</w:t>
      </w:r>
      <w:r w:rsidR="00134A1C">
        <w:rPr>
          <w:rFonts w:ascii="Arial" w:eastAsia="Times New Roman" w:hAnsi="Arial" w:cs="Arial"/>
          <w:sz w:val="24"/>
          <w:szCs w:val="24"/>
          <w:lang w:eastAsia="pl-PL"/>
        </w:rPr>
        <w:t xml:space="preserve"> </w:t>
      </w:r>
      <w:r w:rsidR="00134A1C">
        <w:rPr>
          <w:rFonts w:ascii="Arial" w:eastAsia="Times New Roman" w:hAnsi="Arial" w:cs="Arial"/>
          <w:sz w:val="24"/>
          <w:szCs w:val="24"/>
          <w:lang w:eastAsia="pl-PL"/>
        </w:rPr>
        <w:br/>
      </w:r>
      <w:r w:rsidRPr="005F75F7">
        <w:rPr>
          <w:rFonts w:ascii="Arial" w:eastAsia="Times New Roman" w:hAnsi="Arial" w:cs="Arial"/>
          <w:sz w:val="24"/>
          <w:szCs w:val="24"/>
          <w:lang w:eastAsia="pl-PL"/>
        </w:rPr>
        <w:t>o</w:t>
      </w:r>
      <w:r w:rsidR="00134A1C">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nieefektywnym gospodarowaniu posiadanymi środkami obrotowymi,</w:t>
      </w:r>
      <w:r w:rsidR="00134A1C">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takimi</w:t>
      </w:r>
      <w:r w:rsidR="00134A1C">
        <w:rPr>
          <w:rFonts w:ascii="Arial" w:eastAsia="Times New Roman" w:hAnsi="Arial" w:cs="Arial"/>
          <w:sz w:val="24"/>
          <w:szCs w:val="24"/>
          <w:lang w:eastAsia="pl-PL"/>
        </w:rPr>
        <w:t xml:space="preserve"> </w:t>
      </w:r>
      <w:r w:rsidR="00134A1C">
        <w:rPr>
          <w:rFonts w:ascii="Arial" w:eastAsia="Times New Roman" w:hAnsi="Arial" w:cs="Arial"/>
          <w:sz w:val="24"/>
          <w:szCs w:val="24"/>
          <w:lang w:eastAsia="pl-PL"/>
        </w:rPr>
        <w:br/>
      </w:r>
      <w:r w:rsidRPr="005F75F7">
        <w:rPr>
          <w:rFonts w:ascii="Arial" w:eastAsia="Times New Roman" w:hAnsi="Arial" w:cs="Arial"/>
          <w:sz w:val="24"/>
          <w:szCs w:val="24"/>
          <w:lang w:eastAsia="pl-PL"/>
        </w:rPr>
        <w:t>jak</w:t>
      </w:r>
      <w:r w:rsidR="00134A1C">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zapasy, należności lub środki finansowe.</w:t>
      </w:r>
    </w:p>
    <w:p w14:paraId="76AC9CA0" w14:textId="77777777" w:rsidR="005F75F7" w:rsidRPr="005F75F7" w:rsidRDefault="005F75F7" w:rsidP="00D902FC">
      <w:pPr>
        <w:pStyle w:val="Nagwek3"/>
      </w:pPr>
      <w:r w:rsidRPr="005F75F7">
        <w:lastRenderedPageBreak/>
        <w:t>wskaźnik bieżącej płynności =</w:t>
      </w:r>
    </w:p>
    <w:tbl>
      <w:tblPr>
        <w:tblW w:w="9072"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wskaźnik bieżącej płynności to aktywa obrotowe pomniejszone o należności krótkoterminowe z tytułu dostaw i usług o okresie spłaty powyżej 12 miesięcy oraz krótkoterminowe rozliczenia międzyokresowe (czynne) podzielone przez (zobowiązania krótkoterminowe pomniejszone o zobowiązania z tytułu dostaw i usług o okresie wymagalności powyżej 12 miesięcy powiększone o rezerwy na zobowiązania krótkoterminowe)"/>
      </w:tblPr>
      <w:tblGrid>
        <w:gridCol w:w="9072"/>
      </w:tblGrid>
      <w:tr w:rsidR="005F75F7" w:rsidRPr="005F75F7" w14:paraId="749BDEBE" w14:textId="77777777" w:rsidTr="00D902FC">
        <w:trPr>
          <w:trHeight w:val="666"/>
        </w:trPr>
        <w:tc>
          <w:tcPr>
            <w:tcW w:w="9072" w:type="dxa"/>
            <w:vAlign w:val="center"/>
            <w:hideMark/>
          </w:tcPr>
          <w:p w14:paraId="5701A175"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Aktywa obrotowe - należności krótkoterminowe z tytułu dostaw i usług, o okresie spłaty powyżej 12 miesięcy - krótkoterminowe rozliczenia międzyokresowe (czynne)</w:t>
            </w:r>
          </w:p>
        </w:tc>
      </w:tr>
      <w:tr w:rsidR="005F75F7" w:rsidRPr="005F75F7" w14:paraId="608F91FE" w14:textId="77777777" w:rsidTr="00D902FC">
        <w:trPr>
          <w:trHeight w:val="666"/>
        </w:trPr>
        <w:tc>
          <w:tcPr>
            <w:tcW w:w="9072" w:type="dxa"/>
            <w:vAlign w:val="center"/>
            <w:hideMark/>
          </w:tcPr>
          <w:p w14:paraId="1ABD05AE"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Zobowiązania krótkoterminowe - zobowiązania z tytułu dostaw i usług, o okresie wymagalności powyżej 12 miesięcy + rezerwy na zobowiązania krótkoterminowe</w:t>
            </w:r>
          </w:p>
        </w:tc>
      </w:tr>
    </w:tbl>
    <w:p w14:paraId="2B1D12DF" w14:textId="15E15A2D" w:rsidR="00D902FC" w:rsidRDefault="00D902FC" w:rsidP="00D902FC">
      <w:pPr>
        <w:pStyle w:val="Legenda"/>
        <w:keepNext/>
      </w:pPr>
      <w:r>
        <w:t xml:space="preserve">Tabela </w:t>
      </w:r>
      <w:fldSimple w:instr=" SEQ Tabela \* ARABIC ">
        <w:r w:rsidR="00FA0C2D">
          <w:rPr>
            <w:noProof/>
          </w:rPr>
          <w:t>4</w:t>
        </w:r>
      </w:fldSimple>
      <w:r>
        <w:t>.</w:t>
      </w:r>
      <w:r w:rsidRPr="00D902FC">
        <w:t xml:space="preserve"> </w:t>
      </w:r>
      <w:r>
        <w:t>P</w:t>
      </w:r>
      <w:r w:rsidRPr="00D902FC">
        <w:t xml:space="preserve">rzedziały wartości i ocena punktowa wskaźnika bieżącej </w:t>
      </w:r>
      <w:r>
        <w:t>płynności.</w:t>
      </w:r>
    </w:p>
    <w:tbl>
      <w:tblPr>
        <w:tblW w:w="8984" w:type="dxa"/>
        <w:tblCellMar>
          <w:top w:w="15" w:type="dxa"/>
          <w:left w:w="15" w:type="dxa"/>
          <w:bottom w:w="15" w:type="dxa"/>
          <w:right w:w="15" w:type="dxa"/>
        </w:tblCellMar>
        <w:tblLook w:val="04A0" w:firstRow="1" w:lastRow="0" w:firstColumn="1" w:lastColumn="0" w:noHBand="0" w:noVBand="1"/>
        <w:tblCaption w:val="Tabela 4. Przedziały wartości i ocena punktowa wskaźnika bieżącej płynności."/>
        <w:tblDescription w:val="Tabela zawiera: liczba porządkowa, przedziały wartości, ocena punktowa."/>
      </w:tblPr>
      <w:tblGrid>
        <w:gridCol w:w="562"/>
        <w:gridCol w:w="6437"/>
        <w:gridCol w:w="1985"/>
      </w:tblGrid>
      <w:tr w:rsidR="005F75F7" w:rsidRPr="005F75F7" w14:paraId="6F3B2FF1" w14:textId="77777777" w:rsidTr="00D902FC">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14:paraId="08F8266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6437" w:type="dxa"/>
            <w:tcBorders>
              <w:top w:val="single" w:sz="4" w:space="0" w:color="auto"/>
              <w:left w:val="single" w:sz="4" w:space="0" w:color="auto"/>
              <w:bottom w:val="single" w:sz="4" w:space="0" w:color="auto"/>
              <w:right w:val="single" w:sz="4" w:space="0" w:color="auto"/>
            </w:tcBorders>
            <w:vAlign w:val="center"/>
            <w:hideMark/>
          </w:tcPr>
          <w:p w14:paraId="32E4E2B4"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D9E537"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413CC56B" w14:textId="77777777" w:rsidTr="00D902FC">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14:paraId="4CAB1CE6"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B807034"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0,60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D741F"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r w:rsidR="005F75F7" w:rsidRPr="005F75F7" w14:paraId="04763BEE" w14:textId="77777777" w:rsidTr="00D902FC">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14:paraId="536E72E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F3A4036"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0,60 do 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BE37F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r>
      <w:tr w:rsidR="005F75F7" w:rsidRPr="005F75F7" w14:paraId="0F086756" w14:textId="77777777" w:rsidTr="00D902FC">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14:paraId="46E5BF3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6437" w:type="dxa"/>
            <w:tcBorders>
              <w:top w:val="single" w:sz="4" w:space="0" w:color="auto"/>
              <w:left w:val="single" w:sz="4" w:space="0" w:color="auto"/>
              <w:bottom w:val="single" w:sz="4" w:space="0" w:color="auto"/>
              <w:right w:val="single" w:sz="4" w:space="0" w:color="auto"/>
            </w:tcBorders>
            <w:vAlign w:val="center"/>
            <w:hideMark/>
          </w:tcPr>
          <w:p w14:paraId="76E5DC86"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1,00 do 1,50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9F351"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8</w:t>
            </w:r>
          </w:p>
        </w:tc>
      </w:tr>
      <w:tr w:rsidR="005F75F7" w:rsidRPr="005F75F7" w14:paraId="65616F1B" w14:textId="77777777" w:rsidTr="00D902FC">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14:paraId="5070F9E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930CEF8"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1,50 do 3,00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80B9B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12</w:t>
            </w:r>
          </w:p>
        </w:tc>
      </w:tr>
      <w:tr w:rsidR="005F75F7" w:rsidRPr="005F75F7" w14:paraId="107422C6" w14:textId="77777777" w:rsidTr="00D902FC">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14:paraId="65F03F8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5</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CC2898B" w14:textId="77777777" w:rsidR="005F75F7" w:rsidRPr="005F75F7" w:rsidRDefault="005F75F7" w:rsidP="005F75F7">
            <w:pPr>
              <w:spacing w:after="0" w:line="240" w:lineRule="auto"/>
              <w:rPr>
                <w:rFonts w:ascii="Arial" w:eastAsia="Times New Roman" w:hAnsi="Arial" w:cs="Arial"/>
                <w:sz w:val="24"/>
                <w:szCs w:val="24"/>
                <w:lang w:eastAsia="pl-PL"/>
              </w:rPr>
            </w:pPr>
            <w:r w:rsidRPr="005F75F7">
              <w:rPr>
                <w:rFonts w:ascii="Arial" w:eastAsia="Times New Roman" w:hAnsi="Arial" w:cs="Arial"/>
                <w:sz w:val="24"/>
                <w:szCs w:val="24"/>
                <w:lang w:eastAsia="pl-PL"/>
              </w:rPr>
              <w:t>powyżej 3,00 lub jeżeli zobowiązania krótkoterminowe = 0 zł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236F5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10</w:t>
            </w:r>
          </w:p>
        </w:tc>
      </w:tr>
    </w:tbl>
    <w:p w14:paraId="5266AD31" w14:textId="77777777" w:rsidR="005F75F7" w:rsidRPr="005F75F7" w:rsidRDefault="005F75F7" w:rsidP="005F75F7">
      <w:pPr>
        <w:spacing w:before="480" w:after="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bieżącej płynności określa zdolność podmiotu do spłaty zobowiązań krótkoterminowych poprzez upłynnienie wszystkich środków obrotowych.</w:t>
      </w:r>
    </w:p>
    <w:p w14:paraId="480F1188" w14:textId="77777777" w:rsidR="005F75F7" w:rsidRPr="005F75F7" w:rsidRDefault="005F75F7" w:rsidP="005F75F7">
      <w:pPr>
        <w:spacing w:before="120"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 xml:space="preserve">Maksymalna wartość wskaźnika wyniosła 12 pkt i uzyskało ją 5 jednostek tj.: Wojewódzki Ośrodek Medycyny Pracy w Rzeszowie, Wojewódzki Zespół Specjalistyczny w Rzeszowie, Podkarpackie Centrum Medyczne w Rzeszowie SP ZOZ, Wojewódzki Ośrodek Terapii Uzależnienia od Alkoholu i Współuzależnienia w Stalowej Woli, Wojewódzka Stacja Pogotowia Ratunkowego w Przemyślu SPZOZ, </w:t>
      </w:r>
    </w:p>
    <w:p w14:paraId="05207B5B" w14:textId="77777777" w:rsidR="005F75F7" w:rsidRPr="005F75F7" w:rsidRDefault="005F75F7" w:rsidP="005F75F7">
      <w:pPr>
        <w:spacing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10 punktów uzyskał Wojewódzki Ośrodek Terapii Uzależnień w Rzeszowie.</w:t>
      </w:r>
    </w:p>
    <w:p w14:paraId="4A290995" w14:textId="77777777" w:rsidR="005F75F7" w:rsidRPr="005F75F7" w:rsidRDefault="005F75F7" w:rsidP="005F75F7">
      <w:pPr>
        <w:spacing w:after="120" w:line="276" w:lineRule="auto"/>
        <w:jc w:val="both"/>
        <w:rPr>
          <w:rFonts w:ascii="Arial" w:eastAsia="Times New Roman" w:hAnsi="Arial" w:cs="Arial"/>
          <w:sz w:val="24"/>
          <w:szCs w:val="24"/>
          <w:highlight w:val="yellow"/>
          <w:lang w:eastAsia="pl-PL"/>
        </w:rPr>
      </w:pPr>
      <w:r w:rsidRPr="005F75F7">
        <w:rPr>
          <w:rFonts w:ascii="Arial" w:eastAsia="Times New Roman" w:hAnsi="Arial" w:cs="Arial"/>
          <w:sz w:val="24"/>
          <w:szCs w:val="24"/>
          <w:lang w:eastAsia="pl-PL"/>
        </w:rPr>
        <w:t>Po 8 punktów uzyskały: Kliniczny Szpital Wojewódzki Nr 2  im. Św. Jadwigi Królowej w Rzeszowie, Wojewódzki Szpital im. Św. Ojca Pio w Przemyślu, Specjalistyczny Psychiatryczny Zespół Opieki Zdrowotnej w Jarosławiu, Wojewódzka Stacja Pogotowia Ratunkowego w Rzeszowie.</w:t>
      </w:r>
    </w:p>
    <w:p w14:paraId="23616376" w14:textId="1DA71B1F" w:rsidR="005F75F7" w:rsidRPr="005F75F7" w:rsidRDefault="005F75F7" w:rsidP="005F75F7">
      <w:pPr>
        <w:spacing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4 punkty uzyskali:</w:t>
      </w:r>
      <w:r w:rsidRPr="005F75F7">
        <w:rPr>
          <w:rFonts w:eastAsiaTheme="minorEastAsia"/>
          <w:sz w:val="21"/>
          <w:szCs w:val="21"/>
        </w:rPr>
        <w:t xml:space="preserve"> </w:t>
      </w:r>
      <w:r w:rsidRPr="005F75F7">
        <w:rPr>
          <w:rFonts w:ascii="Arial" w:eastAsia="Times New Roman" w:hAnsi="Arial" w:cs="Arial"/>
          <w:sz w:val="24"/>
          <w:szCs w:val="24"/>
          <w:lang w:eastAsia="pl-PL"/>
        </w:rPr>
        <w:t>Wojewódzki Szpital Podkarpacki im. Jana Pawła II w Krośnie,</w:t>
      </w:r>
      <w:r w:rsidRPr="005F75F7">
        <w:rPr>
          <w:rFonts w:eastAsiaTheme="minorEastAsia"/>
          <w:sz w:val="21"/>
          <w:szCs w:val="21"/>
        </w:rPr>
        <w:t xml:space="preserve"> </w:t>
      </w:r>
      <w:r w:rsidRPr="005F75F7">
        <w:rPr>
          <w:rFonts w:ascii="Arial" w:eastAsia="Times New Roman" w:hAnsi="Arial" w:cs="Arial"/>
          <w:sz w:val="24"/>
          <w:szCs w:val="24"/>
          <w:lang w:eastAsia="pl-PL"/>
        </w:rPr>
        <w:t xml:space="preserve">Wojewódzki Podkarpacki Szpital Psychiatryczny im. prof. Eugeniusza Brzezickiego w Żurawicy. </w:t>
      </w:r>
    </w:p>
    <w:p w14:paraId="6A316089" w14:textId="77777777" w:rsidR="005F75F7" w:rsidRPr="005F75F7" w:rsidRDefault="005F75F7" w:rsidP="005F75F7">
      <w:pPr>
        <w:spacing w:after="0" w:line="276" w:lineRule="auto"/>
        <w:jc w:val="both"/>
        <w:rPr>
          <w:rFonts w:ascii="Arial" w:eastAsiaTheme="minorEastAsia" w:hAnsi="Arial" w:cs="Arial"/>
          <w:sz w:val="24"/>
          <w:szCs w:val="24"/>
        </w:rPr>
        <w:sectPr w:rsidR="005F75F7" w:rsidRPr="005F75F7" w:rsidSect="00D902FC">
          <w:pgSz w:w="11906" w:h="16838"/>
          <w:pgMar w:top="1417" w:right="1417" w:bottom="1417" w:left="1417" w:header="708" w:footer="708" w:gutter="0"/>
          <w:cols w:space="708"/>
          <w:docGrid w:linePitch="360"/>
        </w:sectPr>
      </w:pPr>
      <w:r w:rsidRPr="005F75F7">
        <w:rPr>
          <w:rFonts w:ascii="Arial" w:eastAsia="Times New Roman" w:hAnsi="Arial" w:cs="Arial"/>
          <w:sz w:val="24"/>
          <w:szCs w:val="24"/>
          <w:lang w:eastAsia="pl-PL"/>
        </w:rPr>
        <w:t xml:space="preserve">Najgorzej wypadł: Wojewódzki Szpital im. Zofii z Zamoyskich Tarnowskiej w Tarnobrzegu, w którym wartość wskaźnika była niższa od 0,6 (i ocena punktowa była równa 0). Tak niska wartość wskaźnika </w:t>
      </w:r>
      <w:r w:rsidRPr="005F75F7">
        <w:rPr>
          <w:rFonts w:ascii="Arial" w:eastAsiaTheme="minorEastAsia" w:hAnsi="Arial" w:cs="Arial"/>
          <w:sz w:val="24"/>
          <w:szCs w:val="24"/>
        </w:rPr>
        <w:t>świadczy o ograniczonej zdolności Szpitala do regulowania bieżących zobowiązań.</w:t>
      </w:r>
    </w:p>
    <w:p w14:paraId="03514A3B" w14:textId="77777777" w:rsidR="005F75F7" w:rsidRPr="005F75F7" w:rsidRDefault="005F75F7" w:rsidP="00D902FC">
      <w:pPr>
        <w:pStyle w:val="Nagwek3"/>
      </w:pPr>
      <w:r w:rsidRPr="005F75F7">
        <w:lastRenderedPageBreak/>
        <w:t>wskaźnik szybkiej płynności =</w:t>
      </w:r>
    </w:p>
    <w:tbl>
      <w:tblPr>
        <w:tblW w:w="9072" w:type="dxa"/>
        <w:tblCellMar>
          <w:top w:w="15" w:type="dxa"/>
          <w:left w:w="15" w:type="dxa"/>
          <w:bottom w:w="15" w:type="dxa"/>
          <w:right w:w="15" w:type="dxa"/>
        </w:tblCellMar>
        <w:tblLook w:val="04A0" w:firstRow="1" w:lastRow="0" w:firstColumn="1" w:lastColumn="0" w:noHBand="0" w:noVBand="1"/>
        <w:tblDescription w:val="wskaźnik szybkiej płynności to aktywa obrotowe minus należności krótkoterminowe z tytułu dostaw i usług o okresie spłaty powyżej 12 miesięcy minus krótkoterminowe rozliczenia międzyokresowe (czynne) minus zapasy  podzielone przez: (zobowiązania krótkoterminowe pomniejszone o zobowiązania z tytułu dostaw i usług o okresie wymagalności powyżej 12 miesięcy powiększone o rezerwy na zobowiązania krótkoterminowe)"/>
      </w:tblPr>
      <w:tblGrid>
        <w:gridCol w:w="9072"/>
      </w:tblGrid>
      <w:tr w:rsidR="005F75F7" w:rsidRPr="005F75F7" w14:paraId="7716CDC9" w14:textId="77777777" w:rsidTr="00D902FC">
        <w:tc>
          <w:tcPr>
            <w:tcW w:w="9072" w:type="dxa"/>
            <w:tcBorders>
              <w:bottom w:val="single" w:sz="4" w:space="0" w:color="auto"/>
              <w:right w:val="nil"/>
            </w:tcBorders>
            <w:vAlign w:val="center"/>
            <w:hideMark/>
          </w:tcPr>
          <w:p w14:paraId="60996078"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Aktywa obrotowe - należności krótkoterminowe z tytułu dostaw i usług, o okresie spłaty powyżej 12 miesięcy - krótkoterminowe rozliczenia międzyokresowe (czynne) - zapasy</w:t>
            </w:r>
          </w:p>
        </w:tc>
      </w:tr>
      <w:tr w:rsidR="005F75F7" w:rsidRPr="005F75F7" w14:paraId="14330CD8" w14:textId="77777777" w:rsidTr="00D902FC">
        <w:tc>
          <w:tcPr>
            <w:tcW w:w="9072" w:type="dxa"/>
            <w:tcBorders>
              <w:top w:val="single" w:sz="4" w:space="0" w:color="auto"/>
              <w:right w:val="nil"/>
            </w:tcBorders>
            <w:vAlign w:val="center"/>
            <w:hideMark/>
          </w:tcPr>
          <w:p w14:paraId="40E181F8"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Zobowiązania krótkoterminowe - zobowiązania z tytułu dostaw i usług, o okresie wymagalności powyżej 12 miesięcy + rezerwy na zobowiązania krótkoterminowe</w:t>
            </w:r>
          </w:p>
          <w:p w14:paraId="2643DAF1" w14:textId="77777777" w:rsidR="005F75F7" w:rsidRPr="005F75F7" w:rsidRDefault="005F75F7" w:rsidP="005F75F7">
            <w:pPr>
              <w:spacing w:after="0" w:line="276" w:lineRule="auto"/>
              <w:jc w:val="center"/>
              <w:rPr>
                <w:rFonts w:ascii="Arial" w:eastAsia="Times New Roman" w:hAnsi="Arial" w:cs="Arial"/>
                <w:sz w:val="21"/>
                <w:szCs w:val="21"/>
                <w:lang w:eastAsia="pl-PL"/>
              </w:rPr>
            </w:pPr>
          </w:p>
        </w:tc>
      </w:tr>
    </w:tbl>
    <w:p w14:paraId="72B98DEC" w14:textId="66F6EEAA" w:rsidR="00060555" w:rsidRDefault="00060555" w:rsidP="00060555">
      <w:pPr>
        <w:pStyle w:val="Legenda"/>
        <w:keepNext/>
      </w:pPr>
      <w:r>
        <w:t xml:space="preserve">Tabela </w:t>
      </w:r>
      <w:fldSimple w:instr=" SEQ Tabela \* ARABIC ">
        <w:r w:rsidR="00FA0C2D">
          <w:rPr>
            <w:noProof/>
          </w:rPr>
          <w:t>5</w:t>
        </w:r>
      </w:fldSimple>
      <w:r>
        <w:t>. P</w:t>
      </w:r>
      <w:r w:rsidRPr="00060555">
        <w:t>rzedziały wartości oraz ocena punktowa dla wskaźnika szybkiej płynności</w:t>
      </w:r>
      <w:r>
        <w:t>.</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ela 5. Przedziały wartości oraz ocena punktowa dla wskaźnika szybkiej płynności."/>
        <w:tblDescription w:val="Tabela zawiera: liczbę porządkową, przedziały wartości, ocenę punktową."/>
      </w:tblPr>
      <w:tblGrid>
        <w:gridCol w:w="788"/>
        <w:gridCol w:w="4174"/>
        <w:gridCol w:w="2268"/>
      </w:tblGrid>
      <w:tr w:rsidR="005F75F7" w:rsidRPr="005F75F7" w14:paraId="68E5233A" w14:textId="77777777" w:rsidTr="00D902FC">
        <w:trPr>
          <w:trHeight w:val="340"/>
        </w:trPr>
        <w:tc>
          <w:tcPr>
            <w:tcW w:w="788" w:type="dxa"/>
            <w:vAlign w:val="center"/>
            <w:hideMark/>
          </w:tcPr>
          <w:p w14:paraId="2E5F480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4174" w:type="dxa"/>
            <w:tcBorders>
              <w:top w:val="single" w:sz="4" w:space="0" w:color="auto"/>
              <w:left w:val="single" w:sz="4" w:space="0" w:color="auto"/>
              <w:bottom w:val="single" w:sz="4" w:space="0" w:color="auto"/>
              <w:right w:val="single" w:sz="4" w:space="0" w:color="auto"/>
            </w:tcBorders>
            <w:vAlign w:val="center"/>
            <w:hideMark/>
          </w:tcPr>
          <w:p w14:paraId="185BCD4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DFCDC1"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23D99960" w14:textId="77777777" w:rsidTr="00D902FC">
        <w:trPr>
          <w:trHeight w:val="340"/>
        </w:trPr>
        <w:tc>
          <w:tcPr>
            <w:tcW w:w="788" w:type="dxa"/>
            <w:vAlign w:val="center"/>
            <w:hideMark/>
          </w:tcPr>
          <w:p w14:paraId="3985582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4174" w:type="dxa"/>
            <w:vAlign w:val="center"/>
            <w:hideMark/>
          </w:tcPr>
          <w:p w14:paraId="4B9412E8"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0,50</w:t>
            </w:r>
          </w:p>
        </w:tc>
        <w:tc>
          <w:tcPr>
            <w:tcW w:w="2268" w:type="dxa"/>
            <w:vAlign w:val="center"/>
            <w:hideMark/>
          </w:tcPr>
          <w:p w14:paraId="0AA62B59"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r w:rsidR="005F75F7" w:rsidRPr="005F75F7" w14:paraId="0BE7FAA1" w14:textId="77777777" w:rsidTr="00D902FC">
        <w:trPr>
          <w:trHeight w:val="340"/>
        </w:trPr>
        <w:tc>
          <w:tcPr>
            <w:tcW w:w="788" w:type="dxa"/>
            <w:vAlign w:val="center"/>
            <w:hideMark/>
          </w:tcPr>
          <w:p w14:paraId="6DDDB98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4174" w:type="dxa"/>
            <w:vAlign w:val="center"/>
            <w:hideMark/>
          </w:tcPr>
          <w:p w14:paraId="6E22B4EC"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0,50 do 1,00</w:t>
            </w:r>
          </w:p>
        </w:tc>
        <w:tc>
          <w:tcPr>
            <w:tcW w:w="2268" w:type="dxa"/>
            <w:vAlign w:val="center"/>
            <w:hideMark/>
          </w:tcPr>
          <w:p w14:paraId="4483B5F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8</w:t>
            </w:r>
          </w:p>
        </w:tc>
      </w:tr>
      <w:tr w:rsidR="005F75F7" w:rsidRPr="005F75F7" w14:paraId="1599C689" w14:textId="77777777" w:rsidTr="00D902FC">
        <w:trPr>
          <w:trHeight w:val="340"/>
        </w:trPr>
        <w:tc>
          <w:tcPr>
            <w:tcW w:w="788" w:type="dxa"/>
            <w:vAlign w:val="center"/>
            <w:hideMark/>
          </w:tcPr>
          <w:p w14:paraId="5D86B3A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4174" w:type="dxa"/>
            <w:vAlign w:val="center"/>
            <w:hideMark/>
          </w:tcPr>
          <w:p w14:paraId="13A7CEBD"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1,00 do 2,50</w:t>
            </w:r>
          </w:p>
        </w:tc>
        <w:tc>
          <w:tcPr>
            <w:tcW w:w="2268" w:type="dxa"/>
            <w:vAlign w:val="center"/>
            <w:hideMark/>
          </w:tcPr>
          <w:p w14:paraId="27B2E8C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13</w:t>
            </w:r>
          </w:p>
        </w:tc>
      </w:tr>
      <w:tr w:rsidR="005F75F7" w:rsidRPr="005F75F7" w14:paraId="45E7A098" w14:textId="77777777" w:rsidTr="00D902FC">
        <w:trPr>
          <w:trHeight w:val="340"/>
        </w:trPr>
        <w:tc>
          <w:tcPr>
            <w:tcW w:w="788" w:type="dxa"/>
            <w:vAlign w:val="center"/>
            <w:hideMark/>
          </w:tcPr>
          <w:p w14:paraId="476222E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4174" w:type="dxa"/>
            <w:vAlign w:val="center"/>
            <w:hideMark/>
          </w:tcPr>
          <w:p w14:paraId="1AE0D28E" w14:textId="77777777" w:rsidR="005F75F7" w:rsidRPr="005F75F7" w:rsidRDefault="005F75F7" w:rsidP="005F75F7">
            <w:pPr>
              <w:spacing w:after="0" w:line="240" w:lineRule="auto"/>
              <w:rPr>
                <w:rFonts w:ascii="Arial" w:eastAsia="Times New Roman" w:hAnsi="Arial" w:cs="Arial"/>
                <w:sz w:val="24"/>
                <w:szCs w:val="24"/>
                <w:lang w:eastAsia="pl-PL"/>
              </w:rPr>
            </w:pPr>
            <w:r w:rsidRPr="005F75F7">
              <w:rPr>
                <w:rFonts w:ascii="Arial" w:eastAsia="Times New Roman" w:hAnsi="Arial" w:cs="Arial"/>
                <w:sz w:val="24"/>
                <w:szCs w:val="24"/>
                <w:lang w:eastAsia="pl-PL"/>
              </w:rPr>
              <w:t>powyżej 2,50 lub jeżeli zobowiązania krótkoterminowe = 0 zł</w:t>
            </w:r>
          </w:p>
        </w:tc>
        <w:tc>
          <w:tcPr>
            <w:tcW w:w="2268" w:type="dxa"/>
            <w:vAlign w:val="center"/>
            <w:hideMark/>
          </w:tcPr>
          <w:p w14:paraId="3DFA49A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10</w:t>
            </w:r>
          </w:p>
        </w:tc>
      </w:tr>
    </w:tbl>
    <w:p w14:paraId="6208D1C4" w14:textId="7236C2B9" w:rsidR="005F75F7" w:rsidRPr="005F75F7" w:rsidRDefault="005F75F7" w:rsidP="005F75F7">
      <w:pPr>
        <w:spacing w:before="240"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szybkiej płynności określa zdolność podmiotu do spłacania zobowiązań krótkoterminowych najbardziej płynnymi aktywami, tj. krótkoterminowymi należnościami</w:t>
      </w:r>
      <w:r w:rsidR="00134A1C">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i</w:t>
      </w:r>
      <w:r w:rsidR="00134A1C">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aktywami finansowymi.</w:t>
      </w:r>
    </w:p>
    <w:p w14:paraId="07643149" w14:textId="77777777" w:rsidR="005F75F7" w:rsidRPr="005F75F7" w:rsidRDefault="005F75F7" w:rsidP="005F75F7">
      <w:pPr>
        <w:spacing w:after="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Dziewięć jednostek uzyskało najwyższy poziom wskaźnika czyli 13 pkt., tj. Kliniczny Szpital Wojewódzki Nr 2 im. Św. Jadwigi Królowej w Rzeszowie, Wojewódzki Szpital im. Św. Ojca Pio w Przemyślu, Specjalistyczny Psychiatryczny Zespół Opieki Zdrowotnej w Jarosławiu, Wojewódzka Stacja Pogotowia Ratunkowego w Rzeszowie, Wojewódzki Ośrodek Medycyny Pracy w Rzeszowie, Wojewódzki Zespół Specjalistyczny w Rzeszowie, Wojewódzki Ośrodek Terapii Uzależnienia od Alkoholu i Współuzależnienia w Stalowej Woli, Wojewódzka Stacja Pogotowia Ratunkowego w Przemyślu SPZOZ, Podkarpackie Centrum Medyczne w Rzeszowie SP ZOZ.</w:t>
      </w:r>
    </w:p>
    <w:p w14:paraId="29C37245" w14:textId="7B374DB0" w:rsidR="005F75F7" w:rsidRPr="005F75F7" w:rsidRDefault="005F75F7" w:rsidP="005F75F7">
      <w:pPr>
        <w:spacing w:after="0" w:line="276" w:lineRule="auto"/>
        <w:jc w:val="both"/>
        <w:rPr>
          <w:rFonts w:ascii="Arial" w:eastAsia="Times New Roman" w:hAnsi="Arial" w:cs="Arial"/>
          <w:b/>
          <w:bCs/>
          <w:sz w:val="24"/>
          <w:szCs w:val="24"/>
          <w:lang w:eastAsia="pl-PL"/>
        </w:rPr>
      </w:pPr>
      <w:r w:rsidRPr="005F75F7">
        <w:rPr>
          <w:rFonts w:ascii="Arial" w:eastAsia="Times New Roman" w:hAnsi="Arial" w:cs="Arial"/>
          <w:sz w:val="24"/>
          <w:szCs w:val="24"/>
          <w:lang w:eastAsia="pl-PL"/>
        </w:rPr>
        <w:t xml:space="preserve">10 punktów uzyskał Wojewódzki Ośrodek Terapii Uzależnień w Rzeszowie, </w:t>
      </w:r>
      <w:r w:rsidR="00060555">
        <w:rPr>
          <w:rFonts w:ascii="Arial" w:eastAsia="Times New Roman" w:hAnsi="Arial" w:cs="Arial"/>
          <w:sz w:val="24"/>
          <w:szCs w:val="24"/>
          <w:lang w:eastAsia="pl-PL"/>
        </w:rPr>
        <w:br/>
      </w:r>
      <w:r w:rsidRPr="005F75F7">
        <w:rPr>
          <w:rFonts w:ascii="Arial" w:eastAsia="Times New Roman" w:hAnsi="Arial" w:cs="Arial"/>
          <w:sz w:val="24"/>
          <w:szCs w:val="24"/>
          <w:lang w:eastAsia="pl-PL"/>
        </w:rPr>
        <w:t>a po 8</w:t>
      </w:r>
      <w:r w:rsidR="00060555">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 xml:space="preserve">punktów uzyskały Wojewódzki Podkarpacki Szpital Psychiatryczny im. prof. Eugeniusza Brzezickiego w Żurawicy oraz Wojewódzki Szpital Podkarpacki im. Jana Pawła II  w Krośnie. </w:t>
      </w:r>
    </w:p>
    <w:p w14:paraId="4A03961C" w14:textId="77777777" w:rsidR="005F75F7" w:rsidRPr="005F75F7" w:rsidRDefault="005F75F7" w:rsidP="005F75F7">
      <w:pPr>
        <w:spacing w:before="120" w:after="360" w:line="276" w:lineRule="auto"/>
        <w:jc w:val="both"/>
        <w:rPr>
          <w:rFonts w:ascii="Arial" w:eastAsiaTheme="minorEastAsia" w:hAnsi="Arial" w:cs="Arial"/>
          <w:sz w:val="24"/>
          <w:szCs w:val="24"/>
        </w:rPr>
      </w:pPr>
      <w:r w:rsidRPr="005F75F7">
        <w:rPr>
          <w:rFonts w:ascii="Arial" w:eastAsiaTheme="minorEastAsia" w:hAnsi="Arial" w:cs="Arial"/>
          <w:sz w:val="24"/>
          <w:szCs w:val="24"/>
        </w:rPr>
        <w:t xml:space="preserve">Poziom wskaźnika szybkiej płynności podobnie jak w przypadku wskaźnika bieżącego był niekorzystny dla </w:t>
      </w:r>
      <w:r w:rsidRPr="005F75F7">
        <w:rPr>
          <w:rFonts w:ascii="Arial" w:eastAsia="Times New Roman" w:hAnsi="Arial" w:cs="Arial"/>
          <w:sz w:val="24"/>
          <w:szCs w:val="24"/>
          <w:lang w:eastAsia="pl-PL"/>
        </w:rPr>
        <w:t>Wojewódzkiego Szpitala im. Zofii z Zamoyskich Tarnowskiej w Tarnobrzegu</w:t>
      </w:r>
      <w:r w:rsidRPr="005F75F7">
        <w:rPr>
          <w:rFonts w:ascii="Arial" w:eastAsiaTheme="minorEastAsia" w:hAnsi="Arial" w:cs="Arial"/>
          <w:sz w:val="24"/>
          <w:szCs w:val="24"/>
        </w:rPr>
        <w:t>, który uzyskał 0 pkt. Jest to bardzo niska wartość wskaźnika, świadcząca o ograniczonej zdolności Szpitala do regulowania zobowiązań krótkoterminowych oraz występuje ryzyko nieterminowego regulowania zobowiązań.</w:t>
      </w:r>
    </w:p>
    <w:p w14:paraId="06A2903C" w14:textId="77777777" w:rsidR="005F75F7" w:rsidRPr="005F75F7" w:rsidRDefault="005F75F7" w:rsidP="00D902FC">
      <w:pPr>
        <w:pStyle w:val="Nagwek2"/>
      </w:pPr>
      <w:r w:rsidRPr="005F75F7">
        <w:t>Wskaźniki efektywności</w:t>
      </w:r>
    </w:p>
    <w:p w14:paraId="2583FC08" w14:textId="77777777" w:rsidR="005F75F7" w:rsidRPr="005F75F7" w:rsidRDefault="005F75F7" w:rsidP="00D902FC">
      <w:pPr>
        <w:pStyle w:val="Nagwek3"/>
      </w:pPr>
      <w:r w:rsidRPr="005F75F7">
        <w:t>wskaźnik rotacji należności (w dniach) =</w:t>
      </w:r>
    </w:p>
    <w:tbl>
      <w:tblPr>
        <w:tblW w:w="9180" w:type="dxa"/>
        <w:tblCellMar>
          <w:top w:w="15" w:type="dxa"/>
          <w:left w:w="15" w:type="dxa"/>
          <w:bottom w:w="15" w:type="dxa"/>
          <w:right w:w="15" w:type="dxa"/>
        </w:tblCellMar>
        <w:tblLook w:val="04A0" w:firstRow="1" w:lastRow="0" w:firstColumn="1" w:lastColumn="0" w:noHBand="0" w:noVBand="1"/>
        <w:tblDescription w:val="wskaźnik rotacji nalezności (w dniach) oblicznay jest jako: (średni stan należności z tytułu dostaw i usług razy liczba dni w okresie (365)) podzielone przez sumę przychodów netto ze sprzedaży produktów i przychodów netto ze sprzedaży towarów i materiałów "/>
      </w:tblPr>
      <w:tblGrid>
        <w:gridCol w:w="9143"/>
        <w:gridCol w:w="37"/>
      </w:tblGrid>
      <w:tr w:rsidR="005F75F7" w:rsidRPr="005F75F7" w14:paraId="209403C7" w14:textId="77777777" w:rsidTr="00D902FC">
        <w:tc>
          <w:tcPr>
            <w:tcW w:w="0" w:type="auto"/>
            <w:tcBorders>
              <w:bottom w:val="single" w:sz="4" w:space="0" w:color="auto"/>
              <w:right w:val="nil"/>
            </w:tcBorders>
            <w:vAlign w:val="center"/>
            <w:hideMark/>
          </w:tcPr>
          <w:p w14:paraId="53687527"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Średni stan należności z tytułu dostaw i usług x liczba dni w okresie (365)</w:t>
            </w:r>
          </w:p>
        </w:tc>
        <w:tc>
          <w:tcPr>
            <w:tcW w:w="0" w:type="auto"/>
            <w:vMerge w:val="restart"/>
            <w:tcBorders>
              <w:right w:val="nil"/>
            </w:tcBorders>
            <w:vAlign w:val="center"/>
            <w:hideMark/>
          </w:tcPr>
          <w:p w14:paraId="6963467C" w14:textId="77777777" w:rsidR="005F75F7" w:rsidRPr="005F75F7" w:rsidRDefault="005F75F7" w:rsidP="005F75F7">
            <w:pPr>
              <w:spacing w:after="0" w:line="276" w:lineRule="auto"/>
              <w:jc w:val="both"/>
              <w:rPr>
                <w:rFonts w:ascii="Arial" w:eastAsia="Times New Roman" w:hAnsi="Arial" w:cs="Arial"/>
                <w:sz w:val="21"/>
                <w:szCs w:val="21"/>
                <w:lang w:eastAsia="pl-PL"/>
              </w:rPr>
            </w:pPr>
          </w:p>
        </w:tc>
      </w:tr>
      <w:tr w:rsidR="005F75F7" w:rsidRPr="005F75F7" w14:paraId="60717D45" w14:textId="77777777" w:rsidTr="00D902FC">
        <w:tc>
          <w:tcPr>
            <w:tcW w:w="0" w:type="auto"/>
            <w:tcBorders>
              <w:top w:val="single" w:sz="4" w:space="0" w:color="auto"/>
              <w:bottom w:val="nil"/>
              <w:right w:val="nil"/>
            </w:tcBorders>
            <w:vAlign w:val="center"/>
            <w:hideMark/>
          </w:tcPr>
          <w:p w14:paraId="69619F04"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Przychody netto ze sprzedaży produktów + przychody netto ze sprzedaży towarów i materiałów</w:t>
            </w:r>
          </w:p>
        </w:tc>
        <w:tc>
          <w:tcPr>
            <w:tcW w:w="0" w:type="auto"/>
            <w:vMerge/>
            <w:tcBorders>
              <w:right w:val="nil"/>
            </w:tcBorders>
            <w:vAlign w:val="center"/>
            <w:hideMark/>
          </w:tcPr>
          <w:p w14:paraId="611E3F5B" w14:textId="77777777" w:rsidR="005F75F7" w:rsidRPr="005F75F7" w:rsidRDefault="005F75F7" w:rsidP="005F75F7">
            <w:pPr>
              <w:spacing w:after="0" w:line="276" w:lineRule="auto"/>
              <w:jc w:val="both"/>
              <w:rPr>
                <w:rFonts w:ascii="Arial" w:eastAsia="Times New Roman" w:hAnsi="Arial" w:cs="Arial"/>
                <w:sz w:val="21"/>
                <w:szCs w:val="21"/>
                <w:lang w:eastAsia="pl-PL"/>
              </w:rPr>
            </w:pPr>
          </w:p>
        </w:tc>
      </w:tr>
    </w:tbl>
    <w:p w14:paraId="7CDF9987" w14:textId="77777777" w:rsidR="005F75F7" w:rsidRPr="005F75F7" w:rsidRDefault="005F75F7" w:rsidP="005F75F7">
      <w:pPr>
        <w:spacing w:before="120" w:after="100" w:afterAutospacing="1" w:line="276" w:lineRule="auto"/>
        <w:jc w:val="both"/>
        <w:rPr>
          <w:rFonts w:ascii="Arial" w:eastAsia="Times New Roman" w:hAnsi="Arial" w:cs="Arial"/>
          <w:i/>
          <w:iCs/>
          <w:sz w:val="24"/>
          <w:szCs w:val="24"/>
          <w:lang w:eastAsia="pl-PL"/>
        </w:rPr>
        <w:sectPr w:rsidR="005F75F7" w:rsidRPr="005F75F7" w:rsidSect="00D902FC">
          <w:pgSz w:w="11906" w:h="16838"/>
          <w:pgMar w:top="993" w:right="1417" w:bottom="1417" w:left="1417" w:header="708" w:footer="708" w:gutter="0"/>
          <w:cols w:space="708"/>
          <w:docGrid w:linePitch="360"/>
        </w:sectPr>
      </w:pPr>
      <w:r w:rsidRPr="005F75F7">
        <w:rPr>
          <w:rFonts w:ascii="Arial" w:eastAsia="Times New Roman" w:hAnsi="Arial" w:cs="Arial"/>
          <w:i/>
          <w:iCs/>
          <w:sz w:val="24"/>
          <w:szCs w:val="24"/>
          <w:lang w:eastAsia="pl-PL"/>
        </w:rPr>
        <w:t>gdzie średni stan należności z tytułu dostaw i usług to suma tych należności na koniec poprzedniego roku obrotowego i na koniec bieżącego roku obrotowego podzielona przez 2.</w:t>
      </w:r>
    </w:p>
    <w:p w14:paraId="0B2DD296" w14:textId="4435D0EC" w:rsidR="00060555" w:rsidRDefault="00060555" w:rsidP="00060555">
      <w:pPr>
        <w:pStyle w:val="Legenda"/>
        <w:keepNext/>
      </w:pPr>
      <w:r>
        <w:lastRenderedPageBreak/>
        <w:t xml:space="preserve">Tabela </w:t>
      </w:r>
      <w:fldSimple w:instr=" SEQ Tabela \* ARABIC ">
        <w:r w:rsidR="00FA0C2D">
          <w:rPr>
            <w:noProof/>
          </w:rPr>
          <w:t>6</w:t>
        </w:r>
      </w:fldSimple>
      <w:r>
        <w:t>.</w:t>
      </w:r>
      <w:r w:rsidRPr="00060555">
        <w:t xml:space="preserve"> </w:t>
      </w:r>
      <w:r>
        <w:t>P</w:t>
      </w:r>
      <w:r w:rsidRPr="00060555">
        <w:t>rzedziały wartości i ocena punktowa dl</w:t>
      </w:r>
      <w:r>
        <w:t xml:space="preserve">a </w:t>
      </w:r>
      <w:r w:rsidRPr="00060555">
        <w:t>wskaźnika rotacji należności w dniach</w:t>
      </w:r>
      <w:r>
        <w:t>.</w:t>
      </w:r>
    </w:p>
    <w:tbl>
      <w:tblPr>
        <w:tblW w:w="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ela 6. Przedziały wartości i ocena punktowa dla wskaźnika rotacji należności w dniach."/>
        <w:tblDescription w:val="Tabela zawiera: liczbę porządkową, przedziały wartości, ocenę punktową."/>
      </w:tblPr>
      <w:tblGrid>
        <w:gridCol w:w="788"/>
        <w:gridCol w:w="3318"/>
        <w:gridCol w:w="2107"/>
      </w:tblGrid>
      <w:tr w:rsidR="005F75F7" w:rsidRPr="005F75F7" w14:paraId="4A60D275" w14:textId="77777777" w:rsidTr="00D902FC">
        <w:trPr>
          <w:trHeight w:val="340"/>
        </w:trPr>
        <w:tc>
          <w:tcPr>
            <w:tcW w:w="788" w:type="dxa"/>
            <w:vAlign w:val="center"/>
            <w:hideMark/>
          </w:tcPr>
          <w:p w14:paraId="2ABC9AA7"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br w:type="column"/>
              <w:t>Lp.</w:t>
            </w:r>
          </w:p>
        </w:tc>
        <w:tc>
          <w:tcPr>
            <w:tcW w:w="3318" w:type="dxa"/>
            <w:tcBorders>
              <w:top w:val="single" w:sz="4" w:space="0" w:color="auto"/>
              <w:left w:val="single" w:sz="4" w:space="0" w:color="auto"/>
              <w:bottom w:val="single" w:sz="4" w:space="0" w:color="auto"/>
              <w:right w:val="single" w:sz="4" w:space="0" w:color="auto"/>
            </w:tcBorders>
            <w:vAlign w:val="center"/>
            <w:hideMark/>
          </w:tcPr>
          <w:p w14:paraId="2085CBFE"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7EF8226"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356AE981" w14:textId="77777777" w:rsidTr="00D902FC">
        <w:trPr>
          <w:trHeight w:val="340"/>
        </w:trPr>
        <w:tc>
          <w:tcPr>
            <w:tcW w:w="788" w:type="dxa"/>
            <w:vAlign w:val="center"/>
            <w:hideMark/>
          </w:tcPr>
          <w:p w14:paraId="7F76A67F"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3318" w:type="dxa"/>
            <w:vAlign w:val="center"/>
            <w:hideMark/>
          </w:tcPr>
          <w:p w14:paraId="05DE47BB"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45 dni</w:t>
            </w:r>
          </w:p>
        </w:tc>
        <w:tc>
          <w:tcPr>
            <w:tcW w:w="2107" w:type="dxa"/>
            <w:vAlign w:val="center"/>
            <w:hideMark/>
          </w:tcPr>
          <w:p w14:paraId="3B72927F"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r>
      <w:tr w:rsidR="005F75F7" w:rsidRPr="005F75F7" w14:paraId="5314C8B2" w14:textId="77777777" w:rsidTr="00D902FC">
        <w:trPr>
          <w:trHeight w:val="340"/>
        </w:trPr>
        <w:tc>
          <w:tcPr>
            <w:tcW w:w="788" w:type="dxa"/>
            <w:vAlign w:val="center"/>
            <w:hideMark/>
          </w:tcPr>
          <w:p w14:paraId="618CCBC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3318" w:type="dxa"/>
            <w:vAlign w:val="center"/>
            <w:hideMark/>
          </w:tcPr>
          <w:p w14:paraId="7171BFC5"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45 dni do 60 dni</w:t>
            </w:r>
          </w:p>
        </w:tc>
        <w:tc>
          <w:tcPr>
            <w:tcW w:w="2107" w:type="dxa"/>
            <w:vAlign w:val="center"/>
            <w:hideMark/>
          </w:tcPr>
          <w:p w14:paraId="33D6D0C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r>
      <w:tr w:rsidR="005F75F7" w:rsidRPr="005F75F7" w14:paraId="6FF554B0" w14:textId="77777777" w:rsidTr="00D902FC">
        <w:trPr>
          <w:trHeight w:val="340"/>
        </w:trPr>
        <w:tc>
          <w:tcPr>
            <w:tcW w:w="788" w:type="dxa"/>
            <w:vAlign w:val="center"/>
            <w:hideMark/>
          </w:tcPr>
          <w:p w14:paraId="5F64436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3318" w:type="dxa"/>
            <w:vAlign w:val="center"/>
            <w:hideMark/>
          </w:tcPr>
          <w:p w14:paraId="247AD875"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61 dni do 90 dni</w:t>
            </w:r>
          </w:p>
        </w:tc>
        <w:tc>
          <w:tcPr>
            <w:tcW w:w="2107" w:type="dxa"/>
            <w:vAlign w:val="center"/>
            <w:hideMark/>
          </w:tcPr>
          <w:p w14:paraId="17CEB4A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r>
      <w:tr w:rsidR="005F75F7" w:rsidRPr="005F75F7" w14:paraId="2BA41651" w14:textId="77777777" w:rsidTr="00D902FC">
        <w:trPr>
          <w:trHeight w:val="340"/>
        </w:trPr>
        <w:tc>
          <w:tcPr>
            <w:tcW w:w="788" w:type="dxa"/>
            <w:vAlign w:val="center"/>
            <w:hideMark/>
          </w:tcPr>
          <w:p w14:paraId="31BEE4F7"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3318" w:type="dxa"/>
            <w:vAlign w:val="center"/>
            <w:hideMark/>
          </w:tcPr>
          <w:p w14:paraId="0362A97B"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90 dni</w:t>
            </w:r>
          </w:p>
        </w:tc>
        <w:tc>
          <w:tcPr>
            <w:tcW w:w="2107" w:type="dxa"/>
            <w:vAlign w:val="center"/>
            <w:hideMark/>
          </w:tcPr>
          <w:p w14:paraId="7B0C8DA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bl>
    <w:p w14:paraId="50F8EDA1" w14:textId="77777777" w:rsidR="005F75F7" w:rsidRPr="005F75F7" w:rsidRDefault="005F75F7" w:rsidP="005F75F7">
      <w:pPr>
        <w:spacing w:before="240" w:after="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rotacji należności (w dniach) określa długość cyklu oczekiwania podmiotu na uzyskanie należności za świadczone usługi. Im wyższy poziom wskaźnika, tym podmiot ma większe trudności ze ściągalnością swoich należności, co może obniżyć zdolność do terminowego regulowania zobowiązań.</w:t>
      </w:r>
    </w:p>
    <w:p w14:paraId="78C108E9" w14:textId="5A1A0723" w:rsidR="005F75F7" w:rsidRPr="005F75F7" w:rsidRDefault="005F75F7" w:rsidP="005F75F7">
      <w:pPr>
        <w:spacing w:before="120" w:after="240" w:line="276" w:lineRule="auto"/>
        <w:jc w:val="both"/>
        <w:rPr>
          <w:rFonts w:ascii="Arial" w:eastAsiaTheme="minorEastAsia" w:hAnsi="Arial" w:cs="Arial"/>
          <w:sz w:val="24"/>
          <w:szCs w:val="24"/>
        </w:rPr>
      </w:pPr>
      <w:r w:rsidRPr="005F75F7">
        <w:rPr>
          <w:rFonts w:ascii="Arial" w:eastAsia="Times New Roman" w:hAnsi="Arial" w:cs="Arial"/>
          <w:sz w:val="24"/>
          <w:szCs w:val="24"/>
          <w:lang w:eastAsia="pl-PL"/>
        </w:rPr>
        <w:t>Za wyjątkiem Podkarpackiego Centrum Medycznego w Rzeszowie SP ZOZ, które otrzymało 2 pkt. za rotację należności w</w:t>
      </w:r>
      <w:r w:rsidR="00134A1C">
        <w:rPr>
          <w:rFonts w:ascii="Arial" w:eastAsia="Times New Roman" w:hAnsi="Arial" w:cs="Arial"/>
          <w:sz w:val="24"/>
          <w:szCs w:val="24"/>
          <w:lang w:eastAsia="pl-PL"/>
        </w:rPr>
        <w:t xml:space="preserve"> </w:t>
      </w:r>
      <w:r w:rsidRPr="005F75F7">
        <w:rPr>
          <w:rFonts w:ascii="Arial" w:eastAsia="Times New Roman" w:hAnsi="Arial" w:cs="Arial"/>
          <w:sz w:val="24"/>
          <w:szCs w:val="24"/>
          <w:lang w:eastAsia="pl-PL"/>
        </w:rPr>
        <w:t xml:space="preserve">ciągu 48 dni, pozostałe jednostki uzyskały </w:t>
      </w:r>
      <w:r w:rsidR="00134A1C">
        <w:rPr>
          <w:rFonts w:ascii="Arial" w:eastAsia="Times New Roman" w:hAnsi="Arial" w:cs="Arial"/>
          <w:sz w:val="24"/>
          <w:szCs w:val="24"/>
          <w:lang w:eastAsia="pl-PL"/>
        </w:rPr>
        <w:br/>
      </w:r>
      <w:r w:rsidRPr="005F75F7">
        <w:rPr>
          <w:rFonts w:ascii="Arial" w:eastAsia="Times New Roman" w:hAnsi="Arial" w:cs="Arial"/>
          <w:sz w:val="24"/>
          <w:szCs w:val="24"/>
          <w:lang w:eastAsia="pl-PL"/>
        </w:rPr>
        <w:t>po 3 pkt.</w:t>
      </w:r>
    </w:p>
    <w:p w14:paraId="207FC12B" w14:textId="77777777" w:rsidR="005F75F7" w:rsidRPr="005F75F7" w:rsidRDefault="005F75F7" w:rsidP="00D902FC">
      <w:pPr>
        <w:pStyle w:val="Nagwek3"/>
      </w:pPr>
      <w:r w:rsidRPr="005F75F7">
        <w:t>wskaźnik rotacji zobowiązań (w dniach) =</w:t>
      </w:r>
    </w:p>
    <w:tbl>
      <w:tblPr>
        <w:tblW w:w="9144" w:type="dxa"/>
        <w:tblCellMar>
          <w:top w:w="15" w:type="dxa"/>
          <w:left w:w="15" w:type="dxa"/>
          <w:bottom w:w="15" w:type="dxa"/>
          <w:right w:w="15" w:type="dxa"/>
        </w:tblCellMar>
        <w:tblLook w:val="04A0" w:firstRow="1" w:lastRow="0" w:firstColumn="1" w:lastColumn="0" w:noHBand="0" w:noVBand="1"/>
        <w:tblDescription w:val="wskaźnik rotacji zobowiązań (w dniach) oblicznay jest jako: (średni stan zobowiązań z tytułu dostaw i usług razy liczba dni w okresie (365)) podzielone przez sumę przychodów netto ze sprzedaży produktów i przychodów netto ze sprzedaży towarów i materiałów "/>
      </w:tblPr>
      <w:tblGrid>
        <w:gridCol w:w="9144"/>
      </w:tblGrid>
      <w:tr w:rsidR="005F75F7" w:rsidRPr="005F75F7" w14:paraId="1CDB8FEE" w14:textId="77777777" w:rsidTr="00D902FC">
        <w:tc>
          <w:tcPr>
            <w:tcW w:w="0" w:type="auto"/>
            <w:tcBorders>
              <w:bottom w:val="single" w:sz="4" w:space="0" w:color="auto"/>
              <w:right w:val="nil"/>
            </w:tcBorders>
            <w:vAlign w:val="center"/>
            <w:hideMark/>
          </w:tcPr>
          <w:p w14:paraId="60223F19"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Średni stan zobowiązań z tytułu dostaw i usług x liczba dni w okresie (365)</w:t>
            </w:r>
          </w:p>
        </w:tc>
      </w:tr>
      <w:tr w:rsidR="005F75F7" w:rsidRPr="005F75F7" w14:paraId="1D2A85FB" w14:textId="77777777" w:rsidTr="00D902FC">
        <w:tc>
          <w:tcPr>
            <w:tcW w:w="0" w:type="auto"/>
            <w:tcBorders>
              <w:top w:val="single" w:sz="4" w:space="0" w:color="auto"/>
              <w:bottom w:val="nil"/>
              <w:right w:val="nil"/>
            </w:tcBorders>
            <w:vAlign w:val="center"/>
            <w:hideMark/>
          </w:tcPr>
          <w:p w14:paraId="2E2D5BE1" w14:textId="77777777" w:rsidR="005F75F7" w:rsidRPr="005F75F7" w:rsidRDefault="005F75F7" w:rsidP="005F75F7">
            <w:pPr>
              <w:spacing w:after="0" w:line="276"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Przychody netto ze sprzedaży produktów + przychody netto ze sprzedaży towarów i materiałów</w:t>
            </w:r>
          </w:p>
        </w:tc>
      </w:tr>
    </w:tbl>
    <w:p w14:paraId="0362AD5A" w14:textId="77777777" w:rsidR="005F75F7" w:rsidRPr="005F75F7" w:rsidRDefault="005F75F7" w:rsidP="005F75F7">
      <w:pPr>
        <w:spacing w:before="120" w:after="100" w:afterAutospacing="1" w:line="276" w:lineRule="auto"/>
        <w:jc w:val="both"/>
        <w:rPr>
          <w:rFonts w:ascii="Arial" w:eastAsia="Times New Roman" w:hAnsi="Arial" w:cs="Arial"/>
          <w:i/>
          <w:iCs/>
          <w:sz w:val="24"/>
          <w:szCs w:val="24"/>
          <w:lang w:eastAsia="pl-PL"/>
        </w:rPr>
      </w:pPr>
      <w:r w:rsidRPr="005F75F7">
        <w:rPr>
          <w:rFonts w:ascii="Arial" w:eastAsia="Times New Roman" w:hAnsi="Arial" w:cs="Arial"/>
          <w:i/>
          <w:iCs/>
          <w:sz w:val="24"/>
          <w:szCs w:val="24"/>
          <w:lang w:eastAsia="pl-PL"/>
        </w:rPr>
        <w:t>gdzie średni stan zobowiązań z tytułu dostaw i usług to suma tych zobowiązań na koniec poprzedniego roku obrotowego i na koniec bieżącego roku obrotowego podzielona przez 2.</w:t>
      </w:r>
    </w:p>
    <w:p w14:paraId="48302117" w14:textId="3236E459" w:rsidR="00060555" w:rsidRDefault="00060555" w:rsidP="00060555">
      <w:pPr>
        <w:pStyle w:val="Legenda"/>
        <w:keepNext/>
      </w:pPr>
      <w:r>
        <w:t xml:space="preserve">Tabela </w:t>
      </w:r>
      <w:fldSimple w:instr=" SEQ Tabela \* ARABIC ">
        <w:r w:rsidR="00FA0C2D">
          <w:rPr>
            <w:noProof/>
          </w:rPr>
          <w:t>7</w:t>
        </w:r>
      </w:fldSimple>
      <w:r>
        <w:t>. P</w:t>
      </w:r>
      <w:r w:rsidRPr="00060555">
        <w:t>rzedziały wartości i ocena punktowa dla wskaźnika rotacji zobowiązań w dniach</w:t>
      </w:r>
      <w:r>
        <w:t>.</w:t>
      </w:r>
    </w:p>
    <w:tbl>
      <w:tblPr>
        <w:tblW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ela 7. Przedziały wartości i ocena punktowa dla wskaźnika rotacji zobowiązań w dniach."/>
        <w:tblDescription w:val="Tabela zawiera: liczbę porządkową, przedziały wartości, ocenę punktową."/>
      </w:tblPr>
      <w:tblGrid>
        <w:gridCol w:w="788"/>
        <w:gridCol w:w="2893"/>
        <w:gridCol w:w="2247"/>
      </w:tblGrid>
      <w:tr w:rsidR="005F75F7" w:rsidRPr="005F75F7" w14:paraId="44DBC9A1" w14:textId="77777777" w:rsidTr="00D902FC">
        <w:trPr>
          <w:trHeight w:val="340"/>
        </w:trPr>
        <w:tc>
          <w:tcPr>
            <w:tcW w:w="788" w:type="dxa"/>
            <w:vAlign w:val="center"/>
            <w:hideMark/>
          </w:tcPr>
          <w:p w14:paraId="6C9EC68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2893" w:type="dxa"/>
            <w:tcBorders>
              <w:top w:val="single" w:sz="4" w:space="0" w:color="auto"/>
              <w:left w:val="single" w:sz="4" w:space="0" w:color="auto"/>
              <w:bottom w:val="single" w:sz="4" w:space="0" w:color="auto"/>
              <w:right w:val="single" w:sz="4" w:space="0" w:color="auto"/>
            </w:tcBorders>
            <w:vAlign w:val="center"/>
            <w:hideMark/>
          </w:tcPr>
          <w:p w14:paraId="22324B9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2247" w:type="dxa"/>
            <w:tcBorders>
              <w:top w:val="single" w:sz="4" w:space="0" w:color="auto"/>
              <w:left w:val="single" w:sz="4" w:space="0" w:color="auto"/>
              <w:bottom w:val="single" w:sz="4" w:space="0" w:color="auto"/>
              <w:right w:val="single" w:sz="4" w:space="0" w:color="auto"/>
            </w:tcBorders>
            <w:vAlign w:val="center"/>
            <w:hideMark/>
          </w:tcPr>
          <w:p w14:paraId="7E8B662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54B2396B" w14:textId="77777777" w:rsidTr="00D902FC">
        <w:trPr>
          <w:trHeight w:val="340"/>
        </w:trPr>
        <w:tc>
          <w:tcPr>
            <w:tcW w:w="788" w:type="dxa"/>
            <w:vAlign w:val="center"/>
            <w:hideMark/>
          </w:tcPr>
          <w:p w14:paraId="3ED2F3F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2893" w:type="dxa"/>
            <w:vAlign w:val="center"/>
            <w:hideMark/>
          </w:tcPr>
          <w:p w14:paraId="3DE51ED8"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do 60 dni</w:t>
            </w:r>
          </w:p>
        </w:tc>
        <w:tc>
          <w:tcPr>
            <w:tcW w:w="2247" w:type="dxa"/>
            <w:vAlign w:val="center"/>
            <w:hideMark/>
          </w:tcPr>
          <w:p w14:paraId="19DD2A7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7</w:t>
            </w:r>
          </w:p>
        </w:tc>
      </w:tr>
      <w:tr w:rsidR="005F75F7" w:rsidRPr="005F75F7" w14:paraId="2ABB5EFD" w14:textId="77777777" w:rsidTr="00D902FC">
        <w:trPr>
          <w:trHeight w:val="340"/>
        </w:trPr>
        <w:tc>
          <w:tcPr>
            <w:tcW w:w="788" w:type="dxa"/>
            <w:vAlign w:val="center"/>
            <w:hideMark/>
          </w:tcPr>
          <w:p w14:paraId="5451AE3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2893" w:type="dxa"/>
            <w:vAlign w:val="center"/>
            <w:hideMark/>
          </w:tcPr>
          <w:p w14:paraId="5C944BFD"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61 dni do 90 dni</w:t>
            </w:r>
          </w:p>
        </w:tc>
        <w:tc>
          <w:tcPr>
            <w:tcW w:w="2247" w:type="dxa"/>
            <w:vAlign w:val="center"/>
            <w:hideMark/>
          </w:tcPr>
          <w:p w14:paraId="40341FF9"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r>
      <w:tr w:rsidR="005F75F7" w:rsidRPr="005F75F7" w14:paraId="69D72E01" w14:textId="77777777" w:rsidTr="00D902FC">
        <w:trPr>
          <w:trHeight w:val="340"/>
        </w:trPr>
        <w:tc>
          <w:tcPr>
            <w:tcW w:w="788" w:type="dxa"/>
            <w:vAlign w:val="center"/>
            <w:hideMark/>
          </w:tcPr>
          <w:p w14:paraId="7137C6F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2893" w:type="dxa"/>
            <w:vAlign w:val="center"/>
            <w:hideMark/>
          </w:tcPr>
          <w:p w14:paraId="03D9786F"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90 dni</w:t>
            </w:r>
          </w:p>
        </w:tc>
        <w:tc>
          <w:tcPr>
            <w:tcW w:w="2247" w:type="dxa"/>
            <w:vAlign w:val="center"/>
            <w:hideMark/>
          </w:tcPr>
          <w:p w14:paraId="48EDE781"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bl>
    <w:p w14:paraId="7F0CDD03" w14:textId="77777777" w:rsidR="005F75F7" w:rsidRPr="005F75F7" w:rsidRDefault="005F75F7" w:rsidP="005F75F7">
      <w:pPr>
        <w:spacing w:before="240" w:after="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rotacji zobowiązań (w dniach) określa okres, jaki jest potrzebny podmiotowi do spłacenia swoich zobowiązań krótkoterminowych. Zbyt wysoka wartość wskaźnika może świadczyć o trudnościach podmiotu w regulowaniu swoich bieżących zobowiązań.</w:t>
      </w:r>
    </w:p>
    <w:p w14:paraId="2B87B793" w14:textId="77777777" w:rsidR="005F75F7" w:rsidRPr="005F75F7" w:rsidRDefault="005F75F7" w:rsidP="005F75F7">
      <w:pPr>
        <w:spacing w:after="120" w:line="264" w:lineRule="auto"/>
        <w:jc w:val="both"/>
        <w:rPr>
          <w:rFonts w:ascii="Arial" w:eastAsia="Times New Roman" w:hAnsi="Arial" w:cs="Arial"/>
          <w:sz w:val="24"/>
          <w:szCs w:val="24"/>
          <w:lang w:eastAsia="pl-PL"/>
        </w:rPr>
      </w:pPr>
      <w:r w:rsidRPr="005F75F7">
        <w:rPr>
          <w:rFonts w:ascii="Arial" w:eastAsiaTheme="minorEastAsia" w:hAnsi="Arial" w:cs="Arial"/>
          <w:sz w:val="24"/>
          <w:szCs w:val="24"/>
        </w:rPr>
        <w:t>Tylko Wojewódzki Szpital im. Zofii z Zamoyskich Tarnowskiej w Tarnobrzegu otrzymał 0 pkt. za przekroczenie powyżej 90 dni wskaźnika, pozostałe jednostki otrzymały 7 pkt</w:t>
      </w:r>
      <w:r w:rsidRPr="005F75F7">
        <w:rPr>
          <w:rFonts w:ascii="Arial" w:eastAsia="Times New Roman" w:hAnsi="Arial" w:cs="Arial"/>
          <w:sz w:val="24"/>
          <w:szCs w:val="24"/>
          <w:lang w:eastAsia="pl-PL"/>
        </w:rPr>
        <w:t>.</w:t>
      </w:r>
    </w:p>
    <w:p w14:paraId="109A4312" w14:textId="77777777" w:rsidR="005F75F7" w:rsidRPr="005F75F7" w:rsidRDefault="005F75F7" w:rsidP="005F75F7">
      <w:pPr>
        <w:spacing w:after="120" w:line="264" w:lineRule="auto"/>
        <w:jc w:val="both"/>
        <w:rPr>
          <w:rFonts w:ascii="Arial" w:eastAsia="Times New Roman" w:hAnsi="Arial" w:cs="Arial"/>
          <w:sz w:val="24"/>
          <w:szCs w:val="24"/>
          <w:lang w:eastAsia="pl-PL"/>
        </w:rPr>
      </w:pPr>
    </w:p>
    <w:p w14:paraId="090BB3A7" w14:textId="77777777" w:rsidR="005F75F7" w:rsidRPr="005F75F7" w:rsidRDefault="005F75F7" w:rsidP="00D902FC">
      <w:pPr>
        <w:pStyle w:val="Nagwek2"/>
      </w:pPr>
      <w:r w:rsidRPr="005F75F7">
        <w:t>Wskaźniki zadłużenia</w:t>
      </w:r>
    </w:p>
    <w:p w14:paraId="20F7C44B" w14:textId="77777777" w:rsidR="005F75F7" w:rsidRPr="005F75F7" w:rsidRDefault="005F75F7" w:rsidP="00D902FC">
      <w:pPr>
        <w:pStyle w:val="Nagwek3"/>
      </w:pPr>
      <w:r w:rsidRPr="005F75F7">
        <w:t>wskaźnik zadłużenia aktywów (%) =</w:t>
      </w:r>
    </w:p>
    <w:tbl>
      <w:tblPr>
        <w:tblW w:w="7513" w:type="dxa"/>
        <w:jc w:val="center"/>
        <w:tblCellMar>
          <w:top w:w="15" w:type="dxa"/>
          <w:left w:w="15" w:type="dxa"/>
          <w:bottom w:w="15" w:type="dxa"/>
          <w:right w:w="15" w:type="dxa"/>
        </w:tblCellMar>
        <w:tblLook w:val="04A0" w:firstRow="1" w:lastRow="0" w:firstColumn="1" w:lastColumn="0" w:noHBand="0" w:noVBand="1"/>
        <w:tblDescription w:val="wskaźnik zadłużenia aktywów to suma zobowiązań długoterminowych, krótkoterminowych oraz rezerw na zobowiązania podzielona przez aktywa razem razy 100%"/>
      </w:tblPr>
      <w:tblGrid>
        <w:gridCol w:w="7513"/>
      </w:tblGrid>
      <w:tr w:rsidR="005F75F7" w:rsidRPr="005F75F7" w14:paraId="0D1BE356" w14:textId="77777777" w:rsidTr="00D902FC">
        <w:trPr>
          <w:trHeight w:val="600"/>
          <w:jc w:val="center"/>
        </w:trPr>
        <w:tc>
          <w:tcPr>
            <w:tcW w:w="7513" w:type="dxa"/>
            <w:tcBorders>
              <w:bottom w:val="single" w:sz="4" w:space="0" w:color="auto"/>
              <w:right w:val="nil"/>
            </w:tcBorders>
            <w:vAlign w:val="center"/>
            <w:hideMark/>
          </w:tcPr>
          <w:p w14:paraId="5C3234AE" w14:textId="77777777" w:rsidR="005F75F7" w:rsidRPr="005F75F7" w:rsidRDefault="005F75F7" w:rsidP="005F75F7">
            <w:pPr>
              <w:spacing w:after="0" w:line="240"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(Zobowiązania długoterminowe + zobowiązania krótkoterminowe + rezerwy na zobowiązania) x 100%</w:t>
            </w:r>
          </w:p>
        </w:tc>
      </w:tr>
      <w:tr w:rsidR="005F75F7" w:rsidRPr="005F75F7" w14:paraId="7ED23666" w14:textId="77777777" w:rsidTr="00D902FC">
        <w:trPr>
          <w:trHeight w:val="344"/>
          <w:jc w:val="center"/>
        </w:trPr>
        <w:tc>
          <w:tcPr>
            <w:tcW w:w="7513" w:type="dxa"/>
            <w:tcBorders>
              <w:top w:val="single" w:sz="4" w:space="0" w:color="auto"/>
              <w:right w:val="nil"/>
            </w:tcBorders>
            <w:vAlign w:val="center"/>
            <w:hideMark/>
          </w:tcPr>
          <w:p w14:paraId="01ED11D8" w14:textId="77777777" w:rsidR="005F75F7" w:rsidRPr="005F75F7" w:rsidRDefault="005F75F7" w:rsidP="005F75F7">
            <w:pPr>
              <w:spacing w:after="0" w:line="240" w:lineRule="auto"/>
              <w:jc w:val="center"/>
              <w:rPr>
                <w:rFonts w:ascii="Arial" w:eastAsia="Times New Roman" w:hAnsi="Arial" w:cs="Arial"/>
                <w:sz w:val="21"/>
                <w:szCs w:val="21"/>
                <w:lang w:eastAsia="pl-PL"/>
              </w:rPr>
            </w:pPr>
            <w:r w:rsidRPr="005F75F7">
              <w:rPr>
                <w:rFonts w:ascii="Arial" w:eastAsia="Times New Roman" w:hAnsi="Arial" w:cs="Arial"/>
                <w:sz w:val="21"/>
                <w:szCs w:val="21"/>
                <w:lang w:eastAsia="pl-PL"/>
              </w:rPr>
              <w:t>Aktywa razem</w:t>
            </w:r>
          </w:p>
        </w:tc>
      </w:tr>
    </w:tbl>
    <w:p w14:paraId="7F49DE46" w14:textId="15D7EF9D" w:rsidR="00060555" w:rsidRDefault="00060555" w:rsidP="00060555">
      <w:pPr>
        <w:pStyle w:val="Legenda"/>
        <w:keepNext/>
      </w:pPr>
      <w:r>
        <w:lastRenderedPageBreak/>
        <w:t xml:space="preserve">Tabela </w:t>
      </w:r>
      <w:fldSimple w:instr=" SEQ Tabela \* ARABIC ">
        <w:r w:rsidR="00FA0C2D">
          <w:rPr>
            <w:noProof/>
          </w:rPr>
          <w:t>8</w:t>
        </w:r>
      </w:fldSimple>
      <w:r>
        <w:t>.</w:t>
      </w:r>
      <w:r w:rsidR="0038635A" w:rsidRPr="0038635A">
        <w:t xml:space="preserve"> </w:t>
      </w:r>
      <w:r w:rsidR="0038635A">
        <w:t>P</w:t>
      </w:r>
      <w:r w:rsidR="0038635A" w:rsidRPr="0038635A">
        <w:t>rzedziały wartości i ocena punktowa wskaźnika zadłużenia aktywów</w:t>
      </w:r>
      <w:r w:rsidR="0038635A">
        <w:t>.</w:t>
      </w:r>
    </w:p>
    <w:tbl>
      <w:tblPr>
        <w:tblW w:w="5812" w:type="dxa"/>
        <w:tblInd w:w="-5" w:type="dxa"/>
        <w:tblCellMar>
          <w:top w:w="15" w:type="dxa"/>
          <w:left w:w="15" w:type="dxa"/>
          <w:bottom w:w="15" w:type="dxa"/>
          <w:right w:w="15" w:type="dxa"/>
        </w:tblCellMar>
        <w:tblLook w:val="04A0" w:firstRow="1" w:lastRow="0" w:firstColumn="1" w:lastColumn="0" w:noHBand="0" w:noVBand="1"/>
        <w:tblCaption w:val="Tabela 8. Przedziały wartości i ocena punktowa wskaźnika zadłużenia aktywów."/>
        <w:tblDescription w:val="Tabela zawiera: liczbę porządkową, przedziały wartości, ocenę punktową."/>
      </w:tblPr>
      <w:tblGrid>
        <w:gridCol w:w="788"/>
        <w:gridCol w:w="2756"/>
        <w:gridCol w:w="2268"/>
      </w:tblGrid>
      <w:tr w:rsidR="005F75F7" w:rsidRPr="005F75F7" w14:paraId="20FCA62A"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3693926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2756" w:type="dxa"/>
            <w:tcBorders>
              <w:top w:val="single" w:sz="4" w:space="0" w:color="auto"/>
              <w:left w:val="single" w:sz="4" w:space="0" w:color="auto"/>
              <w:bottom w:val="single" w:sz="4" w:space="0" w:color="auto"/>
              <w:right w:val="single" w:sz="4" w:space="0" w:color="auto"/>
            </w:tcBorders>
            <w:vAlign w:val="center"/>
            <w:hideMark/>
          </w:tcPr>
          <w:p w14:paraId="56652761"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A48E8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32403D2D"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177F59ED"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2756" w:type="dxa"/>
            <w:tcBorders>
              <w:top w:val="single" w:sz="4" w:space="0" w:color="auto"/>
              <w:left w:val="single" w:sz="4" w:space="0" w:color="auto"/>
              <w:bottom w:val="single" w:sz="4" w:space="0" w:color="auto"/>
              <w:right w:val="single" w:sz="4" w:space="0" w:color="auto"/>
            </w:tcBorders>
            <w:vAlign w:val="center"/>
            <w:hideMark/>
          </w:tcPr>
          <w:p w14:paraId="0BA98EB6"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poniżej 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D4A164"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10</w:t>
            </w:r>
          </w:p>
        </w:tc>
      </w:tr>
      <w:tr w:rsidR="005F75F7" w:rsidRPr="005F75F7" w14:paraId="303A0360"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6577C04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2756" w:type="dxa"/>
            <w:tcBorders>
              <w:top w:val="single" w:sz="4" w:space="0" w:color="auto"/>
              <w:left w:val="single" w:sz="4" w:space="0" w:color="auto"/>
              <w:bottom w:val="single" w:sz="4" w:space="0" w:color="auto"/>
              <w:right w:val="single" w:sz="4" w:space="0" w:color="auto"/>
            </w:tcBorders>
            <w:vAlign w:val="center"/>
            <w:hideMark/>
          </w:tcPr>
          <w:p w14:paraId="3E1748BB"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40% do 60%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4DF844"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8</w:t>
            </w:r>
          </w:p>
        </w:tc>
      </w:tr>
      <w:tr w:rsidR="005F75F7" w:rsidRPr="005F75F7" w14:paraId="3D3275AD"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3CA035F8"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2756" w:type="dxa"/>
            <w:tcBorders>
              <w:top w:val="single" w:sz="4" w:space="0" w:color="auto"/>
              <w:left w:val="single" w:sz="4" w:space="0" w:color="auto"/>
              <w:bottom w:val="single" w:sz="4" w:space="0" w:color="auto"/>
              <w:right w:val="single" w:sz="4" w:space="0" w:color="auto"/>
            </w:tcBorders>
            <w:vAlign w:val="center"/>
            <w:hideMark/>
          </w:tcPr>
          <w:p w14:paraId="6943387E"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60% do 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DB2BF7"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r>
      <w:tr w:rsidR="005F75F7" w:rsidRPr="005F75F7" w14:paraId="101D59F3"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53D94A9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2756" w:type="dxa"/>
            <w:tcBorders>
              <w:top w:val="single" w:sz="4" w:space="0" w:color="auto"/>
              <w:left w:val="single" w:sz="4" w:space="0" w:color="auto"/>
              <w:bottom w:val="single" w:sz="4" w:space="0" w:color="auto"/>
              <w:right w:val="single" w:sz="4" w:space="0" w:color="auto"/>
            </w:tcBorders>
            <w:vAlign w:val="center"/>
            <w:hideMark/>
          </w:tcPr>
          <w:p w14:paraId="52101791"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64E7C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bl>
    <w:p w14:paraId="511074C7" w14:textId="77777777" w:rsidR="005F75F7" w:rsidRPr="005F75F7" w:rsidRDefault="005F75F7" w:rsidP="005F75F7">
      <w:pPr>
        <w:spacing w:before="240" w:after="120" w:line="276"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Wskaźnik zadłużenia aktywów (%) informuje o stopniu finansowania aktywów kapitałami obcymi. Zbyt wysoka wartość wskaźnika podważa wiarygodność finansową podmiotu.</w:t>
      </w:r>
    </w:p>
    <w:p w14:paraId="7F5CC44A" w14:textId="01830CF0" w:rsidR="005F75F7" w:rsidRPr="005F75F7" w:rsidRDefault="005F75F7" w:rsidP="005F75F7">
      <w:pPr>
        <w:autoSpaceDE w:val="0"/>
        <w:autoSpaceDN w:val="0"/>
        <w:adjustRightInd w:val="0"/>
        <w:spacing w:after="120" w:line="276" w:lineRule="auto"/>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Maksymalną wartość wskaźnika uzyskało 6 po</w:t>
      </w:r>
      <w:r w:rsidR="00134A1C">
        <w:rPr>
          <w:rFonts w:ascii="Arial" w:eastAsiaTheme="minorEastAsia" w:hAnsi="Arial" w:cs="Arial"/>
          <w:color w:val="000000"/>
          <w:sz w:val="24"/>
          <w:szCs w:val="24"/>
        </w:rPr>
        <w:t>d</w:t>
      </w:r>
      <w:r w:rsidRPr="005F75F7">
        <w:rPr>
          <w:rFonts w:ascii="Arial" w:eastAsiaTheme="minorEastAsia" w:hAnsi="Arial" w:cs="Arial"/>
          <w:color w:val="000000"/>
          <w:sz w:val="24"/>
          <w:szCs w:val="24"/>
        </w:rPr>
        <w:t>miotów tj. Specjalistyczny Psychiatryczny Zespół Opieki Zdrowotnej w Jarosławiu, Wojewódzki Podkarpacki Szpital Psychiatryczny im. prof. Eugeniusza Brzezickiego w Żurawicy, Wojewódzki Zespół Specjalistyczny w Rzeszowie,</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Wojewódzki Ośrodek Terapii Uzależnień w Rzeszowie,</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Wojewódzki Ośrodek Terapii Uzależnienia od Alkoholu i Współuzależnienia w Stalowej Woli oraz</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Wojewódzka Stacja Pogotowia Ratunkowego w Przemyślu SPZOZ.</w:t>
      </w:r>
    </w:p>
    <w:p w14:paraId="24E34E75" w14:textId="77777777" w:rsidR="005F75F7" w:rsidRPr="005F75F7" w:rsidRDefault="005F75F7" w:rsidP="005F75F7">
      <w:pPr>
        <w:autoSpaceDE w:val="0"/>
        <w:autoSpaceDN w:val="0"/>
        <w:adjustRightInd w:val="0"/>
        <w:spacing w:before="120" w:after="0" w:line="276" w:lineRule="auto"/>
        <w:jc w:val="both"/>
        <w:rPr>
          <w:rFonts w:ascii="Arial" w:eastAsiaTheme="minorEastAsia" w:hAnsi="Arial" w:cs="Arial"/>
          <w:i/>
          <w:iCs/>
          <w:color w:val="000000"/>
          <w:sz w:val="24"/>
          <w:szCs w:val="24"/>
        </w:rPr>
      </w:pPr>
      <w:r w:rsidRPr="005F75F7">
        <w:rPr>
          <w:rFonts w:ascii="Arial" w:eastAsiaTheme="minorEastAsia" w:hAnsi="Arial" w:cs="Arial"/>
          <w:color w:val="000000"/>
          <w:sz w:val="24"/>
          <w:szCs w:val="24"/>
        </w:rPr>
        <w:t>Dwa punkty mniej uzyskały Wojewódzki Szpital im. Zofii z Zamoyskich Tarnowskiej w Tarnobrzegu i Wojewódzka Stacja Pogotowia Ratunkowego w Rzeszowie, Wojewódzki Ośrodek Medycyny Pracy w Rzeszowie,</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Podkarpackie Centrum Medyczne w Rzeszowie SP ZOZ</w:t>
      </w:r>
      <w:r w:rsidRPr="005F75F7">
        <w:rPr>
          <w:rFonts w:ascii="Arial" w:eastAsiaTheme="minorEastAsia" w:hAnsi="Arial" w:cs="Arial"/>
          <w:i/>
          <w:iCs/>
          <w:color w:val="000000"/>
          <w:sz w:val="24"/>
          <w:szCs w:val="24"/>
        </w:rPr>
        <w:t>.</w:t>
      </w:r>
    </w:p>
    <w:p w14:paraId="3F45B6D8" w14:textId="77777777" w:rsidR="005F75F7" w:rsidRPr="005F75F7" w:rsidRDefault="005F75F7" w:rsidP="005F75F7">
      <w:pPr>
        <w:autoSpaceDE w:val="0"/>
        <w:autoSpaceDN w:val="0"/>
        <w:adjustRightInd w:val="0"/>
        <w:spacing w:after="0" w:line="276" w:lineRule="auto"/>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Po 3 punkty uzyskały Kliniczny Szpital Wojewódzki Nr 2  im. Św. Jadwigi Królowej w Rzeszowie, Wojewódzki Szpital Podkarpacki im. Jana Pawła II w Krośnie. Natomiast 0 pkt. uzyskał Wojewódzki Szpital im. Św. Ojca Pio w Przemyślu.</w:t>
      </w:r>
    </w:p>
    <w:p w14:paraId="70845C39" w14:textId="77777777" w:rsidR="005F75F7" w:rsidRPr="005F75F7" w:rsidRDefault="005F75F7" w:rsidP="005F75F7">
      <w:pPr>
        <w:autoSpaceDE w:val="0"/>
        <w:autoSpaceDN w:val="0"/>
        <w:adjustRightInd w:val="0"/>
        <w:spacing w:after="240" w:line="276" w:lineRule="auto"/>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Zobowiązania długoterminowe z tytułu kredytów restrukturyzacyjnych w Banku Gospodarstwa Krajowego posiadają poniższe szpitale:</w:t>
      </w:r>
    </w:p>
    <w:p w14:paraId="2A966AEC" w14:textId="72EDAB78" w:rsidR="0038635A" w:rsidRDefault="0038635A" w:rsidP="0038635A">
      <w:pPr>
        <w:pStyle w:val="Legenda"/>
        <w:keepNext/>
      </w:pPr>
      <w:r>
        <w:t xml:space="preserve">Tabela </w:t>
      </w:r>
      <w:fldSimple w:instr=" SEQ Tabela \* ARABIC ">
        <w:r w:rsidR="00FA0C2D">
          <w:rPr>
            <w:noProof/>
          </w:rPr>
          <w:t>9</w:t>
        </w:r>
      </w:fldSimple>
      <w:r>
        <w:t xml:space="preserve">. </w:t>
      </w:r>
      <w:r w:rsidRPr="0038635A">
        <w:t>Spłata kredytów restrukturyzacyjnych ogółem w latach 2018-2023 (do października 2023 r.)</w:t>
      </w:r>
      <w: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9. Spłata kredytów restrukturyzacyjnych ogółem w latach 2018-2023 (do października 2023 r.)"/>
        <w:tblDescription w:val="Tabela zawiera: nazwę szpitala, spłatę rat kapitału ogółem, ogółem zapłacone odsetki, kwotę kredytu w złotówkach, kapitan po spłacie - stan na 30.06.2023"/>
      </w:tblPr>
      <w:tblGrid>
        <w:gridCol w:w="1691"/>
        <w:gridCol w:w="1808"/>
        <w:gridCol w:w="1809"/>
        <w:gridCol w:w="1809"/>
        <w:gridCol w:w="1809"/>
      </w:tblGrid>
      <w:tr w:rsidR="005F75F7" w:rsidRPr="005F75F7" w14:paraId="6C4E5E4A" w14:textId="77777777" w:rsidTr="00134A1C">
        <w:trPr>
          <w:trHeight w:val="529"/>
        </w:trPr>
        <w:tc>
          <w:tcPr>
            <w:tcW w:w="1691" w:type="dxa"/>
            <w:shd w:val="clear" w:color="000000" w:fill="FFFFFF"/>
            <w:vAlign w:val="center"/>
            <w:hideMark/>
          </w:tcPr>
          <w:p w14:paraId="59205156" w14:textId="77777777" w:rsidR="005F75F7" w:rsidRPr="00134A1C" w:rsidRDefault="005F75F7" w:rsidP="00134A1C">
            <w:pPr>
              <w:spacing w:after="120" w:line="264" w:lineRule="auto"/>
              <w:jc w:val="center"/>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Nazwa Szpitala</w:t>
            </w:r>
          </w:p>
        </w:tc>
        <w:tc>
          <w:tcPr>
            <w:tcW w:w="1808" w:type="dxa"/>
            <w:shd w:val="clear" w:color="auto" w:fill="auto"/>
            <w:vAlign w:val="center"/>
            <w:hideMark/>
          </w:tcPr>
          <w:p w14:paraId="47DD4308" w14:textId="77777777" w:rsidR="005F75F7" w:rsidRPr="00134A1C" w:rsidRDefault="005F75F7" w:rsidP="00134A1C">
            <w:pPr>
              <w:spacing w:after="120" w:line="264" w:lineRule="auto"/>
              <w:jc w:val="center"/>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Spłata rat kapitału ogółem</w:t>
            </w:r>
          </w:p>
        </w:tc>
        <w:tc>
          <w:tcPr>
            <w:tcW w:w="1809" w:type="dxa"/>
            <w:shd w:val="clear" w:color="auto" w:fill="auto"/>
            <w:vAlign w:val="center"/>
            <w:hideMark/>
          </w:tcPr>
          <w:p w14:paraId="0E616E3D" w14:textId="77777777" w:rsidR="005F75F7" w:rsidRPr="00134A1C" w:rsidRDefault="005F75F7" w:rsidP="00134A1C">
            <w:pPr>
              <w:spacing w:after="120" w:line="264" w:lineRule="auto"/>
              <w:jc w:val="center"/>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Ogółem zapłacone odsetki</w:t>
            </w:r>
          </w:p>
        </w:tc>
        <w:tc>
          <w:tcPr>
            <w:tcW w:w="1809" w:type="dxa"/>
            <w:shd w:val="clear" w:color="auto" w:fill="auto"/>
            <w:vAlign w:val="center"/>
            <w:hideMark/>
          </w:tcPr>
          <w:p w14:paraId="4ACED5F4" w14:textId="77777777" w:rsidR="005F75F7" w:rsidRPr="00134A1C" w:rsidRDefault="005F75F7" w:rsidP="00134A1C">
            <w:pPr>
              <w:spacing w:after="120" w:line="264" w:lineRule="auto"/>
              <w:jc w:val="center"/>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Kwota kredytu [zł]</w:t>
            </w:r>
          </w:p>
        </w:tc>
        <w:tc>
          <w:tcPr>
            <w:tcW w:w="1809" w:type="dxa"/>
            <w:shd w:val="clear" w:color="auto" w:fill="auto"/>
            <w:vAlign w:val="center"/>
            <w:hideMark/>
          </w:tcPr>
          <w:p w14:paraId="2C2A42B8" w14:textId="13CC489C" w:rsidR="005F75F7" w:rsidRPr="00134A1C" w:rsidRDefault="005F75F7" w:rsidP="00134A1C">
            <w:pPr>
              <w:spacing w:after="120" w:line="264" w:lineRule="auto"/>
              <w:jc w:val="center"/>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Kapitał po spłacie</w:t>
            </w:r>
            <w:r w:rsidR="0038635A" w:rsidRPr="00134A1C">
              <w:rPr>
                <w:rFonts w:ascii="Arial" w:eastAsiaTheme="minorEastAsia" w:hAnsi="Arial" w:cs="Arial"/>
                <w:b/>
                <w:bCs/>
                <w:color w:val="000000"/>
                <w:sz w:val="20"/>
                <w:szCs w:val="24"/>
              </w:rPr>
              <w:br/>
              <w:t>(</w:t>
            </w:r>
            <w:r w:rsidRPr="00134A1C">
              <w:rPr>
                <w:rFonts w:ascii="Arial" w:eastAsiaTheme="minorEastAsia" w:hAnsi="Arial" w:cs="Arial"/>
                <w:b/>
                <w:bCs/>
                <w:color w:val="000000"/>
                <w:sz w:val="20"/>
                <w:szCs w:val="24"/>
              </w:rPr>
              <w:t>stan na</w:t>
            </w:r>
            <w:r w:rsidR="0038635A" w:rsidRPr="00134A1C">
              <w:rPr>
                <w:rFonts w:ascii="Arial" w:eastAsiaTheme="minorEastAsia" w:hAnsi="Arial" w:cs="Arial"/>
                <w:b/>
                <w:bCs/>
                <w:color w:val="000000"/>
                <w:sz w:val="20"/>
                <w:szCs w:val="24"/>
              </w:rPr>
              <w:br/>
            </w:r>
            <w:r w:rsidRPr="00134A1C">
              <w:rPr>
                <w:rFonts w:ascii="Arial" w:eastAsiaTheme="minorEastAsia" w:hAnsi="Arial" w:cs="Arial"/>
                <w:b/>
                <w:bCs/>
                <w:color w:val="000000"/>
                <w:sz w:val="20"/>
                <w:szCs w:val="24"/>
              </w:rPr>
              <w:t>30.06.2023</w:t>
            </w:r>
            <w:r w:rsidR="0038635A" w:rsidRPr="00134A1C">
              <w:rPr>
                <w:rFonts w:ascii="Arial" w:eastAsiaTheme="minorEastAsia" w:hAnsi="Arial" w:cs="Arial"/>
                <w:b/>
                <w:bCs/>
                <w:color w:val="000000"/>
                <w:sz w:val="20"/>
                <w:szCs w:val="24"/>
              </w:rPr>
              <w:t>)</w:t>
            </w:r>
          </w:p>
        </w:tc>
      </w:tr>
      <w:tr w:rsidR="005F75F7" w:rsidRPr="005F75F7" w14:paraId="7401DCC5" w14:textId="77777777" w:rsidTr="004D6B7C">
        <w:trPr>
          <w:trHeight w:val="288"/>
        </w:trPr>
        <w:tc>
          <w:tcPr>
            <w:tcW w:w="1691" w:type="dxa"/>
            <w:shd w:val="clear" w:color="auto" w:fill="auto"/>
            <w:noWrap/>
            <w:vAlign w:val="center"/>
            <w:hideMark/>
          </w:tcPr>
          <w:p w14:paraId="158427BC" w14:textId="77777777" w:rsidR="005F75F7" w:rsidRPr="00134A1C" w:rsidRDefault="005F75F7" w:rsidP="005F75F7">
            <w:pPr>
              <w:spacing w:after="120" w:line="264" w:lineRule="auto"/>
              <w:rPr>
                <w:rFonts w:ascii="Arial" w:eastAsiaTheme="minorEastAsia" w:hAnsi="Arial" w:cs="Arial"/>
                <w:color w:val="000000"/>
                <w:sz w:val="20"/>
                <w:szCs w:val="24"/>
              </w:rPr>
            </w:pPr>
            <w:r w:rsidRPr="00134A1C">
              <w:rPr>
                <w:rFonts w:ascii="Arial" w:eastAsiaTheme="minorEastAsia" w:hAnsi="Arial" w:cs="Arial"/>
                <w:color w:val="000000"/>
                <w:sz w:val="20"/>
                <w:szCs w:val="24"/>
              </w:rPr>
              <w:t>KSW Nr 2 Rzeszów</w:t>
            </w:r>
          </w:p>
        </w:tc>
        <w:tc>
          <w:tcPr>
            <w:tcW w:w="1808" w:type="dxa"/>
            <w:shd w:val="clear" w:color="auto" w:fill="auto"/>
            <w:noWrap/>
            <w:vAlign w:val="center"/>
          </w:tcPr>
          <w:p w14:paraId="09F50BAD"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25 570 236,90</w:t>
            </w:r>
          </w:p>
        </w:tc>
        <w:tc>
          <w:tcPr>
            <w:tcW w:w="1809" w:type="dxa"/>
            <w:shd w:val="clear" w:color="auto" w:fill="auto"/>
            <w:noWrap/>
            <w:vAlign w:val="center"/>
          </w:tcPr>
          <w:p w14:paraId="18CD9E0D"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46 392 697,86</w:t>
            </w:r>
          </w:p>
        </w:tc>
        <w:tc>
          <w:tcPr>
            <w:tcW w:w="1809" w:type="dxa"/>
            <w:shd w:val="clear" w:color="auto" w:fill="auto"/>
            <w:vAlign w:val="center"/>
            <w:hideMark/>
          </w:tcPr>
          <w:p w14:paraId="23352706"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137 000 000,00</w:t>
            </w:r>
          </w:p>
        </w:tc>
        <w:tc>
          <w:tcPr>
            <w:tcW w:w="1809" w:type="dxa"/>
            <w:shd w:val="clear" w:color="auto" w:fill="auto"/>
            <w:noWrap/>
            <w:vAlign w:val="center"/>
            <w:hideMark/>
          </w:tcPr>
          <w:p w14:paraId="4926E3E6"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111 429 763,10</w:t>
            </w:r>
          </w:p>
        </w:tc>
      </w:tr>
      <w:tr w:rsidR="005F75F7" w:rsidRPr="005F75F7" w14:paraId="5E9882DC" w14:textId="77777777" w:rsidTr="004D6B7C">
        <w:trPr>
          <w:trHeight w:val="288"/>
        </w:trPr>
        <w:tc>
          <w:tcPr>
            <w:tcW w:w="1691" w:type="dxa"/>
            <w:shd w:val="clear" w:color="auto" w:fill="auto"/>
            <w:noWrap/>
            <w:vAlign w:val="center"/>
            <w:hideMark/>
          </w:tcPr>
          <w:p w14:paraId="067F7931" w14:textId="77777777" w:rsidR="005F75F7" w:rsidRPr="00134A1C" w:rsidRDefault="005F75F7" w:rsidP="005F75F7">
            <w:pPr>
              <w:spacing w:after="120" w:line="264" w:lineRule="auto"/>
              <w:rPr>
                <w:rFonts w:ascii="Arial" w:eastAsiaTheme="minorEastAsia" w:hAnsi="Arial" w:cs="Arial"/>
                <w:color w:val="000000"/>
                <w:sz w:val="20"/>
                <w:szCs w:val="24"/>
              </w:rPr>
            </w:pPr>
            <w:r w:rsidRPr="00134A1C">
              <w:rPr>
                <w:rFonts w:ascii="Arial" w:eastAsiaTheme="minorEastAsia" w:hAnsi="Arial" w:cs="Arial"/>
                <w:color w:val="000000"/>
                <w:sz w:val="20"/>
                <w:szCs w:val="24"/>
              </w:rPr>
              <w:t>WS Krosno</w:t>
            </w:r>
          </w:p>
        </w:tc>
        <w:tc>
          <w:tcPr>
            <w:tcW w:w="1808" w:type="dxa"/>
            <w:shd w:val="clear" w:color="auto" w:fill="auto"/>
            <w:noWrap/>
            <w:vAlign w:val="center"/>
          </w:tcPr>
          <w:p w14:paraId="6358F795"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12 278 620,17</w:t>
            </w:r>
          </w:p>
        </w:tc>
        <w:tc>
          <w:tcPr>
            <w:tcW w:w="1809" w:type="dxa"/>
            <w:shd w:val="clear" w:color="auto" w:fill="auto"/>
            <w:noWrap/>
            <w:vAlign w:val="center"/>
          </w:tcPr>
          <w:p w14:paraId="671F0477"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3 130 000,00</w:t>
            </w:r>
          </w:p>
        </w:tc>
        <w:tc>
          <w:tcPr>
            <w:tcW w:w="1809" w:type="dxa"/>
            <w:shd w:val="clear" w:color="auto" w:fill="auto"/>
            <w:vAlign w:val="center"/>
            <w:hideMark/>
          </w:tcPr>
          <w:p w14:paraId="2BFB344E"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66 000 000,00</w:t>
            </w:r>
          </w:p>
        </w:tc>
        <w:tc>
          <w:tcPr>
            <w:tcW w:w="1809" w:type="dxa"/>
            <w:shd w:val="clear" w:color="auto" w:fill="auto"/>
            <w:noWrap/>
            <w:vAlign w:val="center"/>
            <w:hideMark/>
          </w:tcPr>
          <w:p w14:paraId="5F125D77"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53 721 379,83</w:t>
            </w:r>
          </w:p>
        </w:tc>
      </w:tr>
      <w:tr w:rsidR="005F75F7" w:rsidRPr="005F75F7" w14:paraId="3F4E581E" w14:textId="77777777" w:rsidTr="004D6B7C">
        <w:trPr>
          <w:trHeight w:val="288"/>
        </w:trPr>
        <w:tc>
          <w:tcPr>
            <w:tcW w:w="1691" w:type="dxa"/>
            <w:shd w:val="clear" w:color="auto" w:fill="auto"/>
            <w:noWrap/>
            <w:vAlign w:val="center"/>
            <w:hideMark/>
          </w:tcPr>
          <w:p w14:paraId="1BE10997" w14:textId="77777777" w:rsidR="005F75F7" w:rsidRPr="00134A1C" w:rsidRDefault="005F75F7" w:rsidP="005F75F7">
            <w:pPr>
              <w:spacing w:after="120" w:line="264" w:lineRule="auto"/>
              <w:rPr>
                <w:rFonts w:ascii="Arial" w:eastAsiaTheme="minorEastAsia" w:hAnsi="Arial" w:cs="Arial"/>
                <w:color w:val="000000"/>
                <w:sz w:val="20"/>
                <w:szCs w:val="24"/>
              </w:rPr>
            </w:pPr>
            <w:r w:rsidRPr="00134A1C">
              <w:rPr>
                <w:rFonts w:ascii="Arial" w:eastAsiaTheme="minorEastAsia" w:hAnsi="Arial" w:cs="Arial"/>
                <w:color w:val="000000"/>
                <w:sz w:val="20"/>
                <w:szCs w:val="24"/>
              </w:rPr>
              <w:t>WS Przemyśl</w:t>
            </w:r>
          </w:p>
        </w:tc>
        <w:tc>
          <w:tcPr>
            <w:tcW w:w="1808" w:type="dxa"/>
            <w:shd w:val="clear" w:color="auto" w:fill="auto"/>
            <w:noWrap/>
            <w:vAlign w:val="center"/>
          </w:tcPr>
          <w:p w14:paraId="2339AD44"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12 099 845,15</w:t>
            </w:r>
          </w:p>
        </w:tc>
        <w:tc>
          <w:tcPr>
            <w:tcW w:w="1809" w:type="dxa"/>
            <w:shd w:val="clear" w:color="auto" w:fill="auto"/>
            <w:noWrap/>
            <w:vAlign w:val="center"/>
          </w:tcPr>
          <w:p w14:paraId="76B8C126"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1 620 000,00</w:t>
            </w:r>
          </w:p>
        </w:tc>
        <w:tc>
          <w:tcPr>
            <w:tcW w:w="1809" w:type="dxa"/>
            <w:shd w:val="clear" w:color="auto" w:fill="auto"/>
            <w:vAlign w:val="center"/>
            <w:hideMark/>
          </w:tcPr>
          <w:p w14:paraId="28D6B888"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93 000 000,00</w:t>
            </w:r>
          </w:p>
        </w:tc>
        <w:tc>
          <w:tcPr>
            <w:tcW w:w="1809" w:type="dxa"/>
            <w:shd w:val="clear" w:color="auto" w:fill="auto"/>
            <w:noWrap/>
            <w:vAlign w:val="center"/>
            <w:hideMark/>
          </w:tcPr>
          <w:p w14:paraId="5071F845"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80 900 154,85</w:t>
            </w:r>
          </w:p>
        </w:tc>
      </w:tr>
      <w:tr w:rsidR="005F75F7" w:rsidRPr="005F75F7" w14:paraId="4FB10642" w14:textId="77777777" w:rsidTr="004D6B7C">
        <w:trPr>
          <w:trHeight w:val="288"/>
        </w:trPr>
        <w:tc>
          <w:tcPr>
            <w:tcW w:w="1691" w:type="dxa"/>
            <w:shd w:val="clear" w:color="auto" w:fill="auto"/>
            <w:noWrap/>
            <w:vAlign w:val="center"/>
            <w:hideMark/>
          </w:tcPr>
          <w:p w14:paraId="3B9743B3" w14:textId="77777777" w:rsidR="005F75F7" w:rsidRPr="00134A1C" w:rsidRDefault="005F75F7" w:rsidP="005F75F7">
            <w:pPr>
              <w:spacing w:after="120" w:line="264" w:lineRule="auto"/>
              <w:rPr>
                <w:rFonts w:ascii="Arial" w:eastAsiaTheme="minorEastAsia" w:hAnsi="Arial" w:cs="Arial"/>
                <w:color w:val="000000"/>
                <w:sz w:val="20"/>
                <w:szCs w:val="24"/>
              </w:rPr>
            </w:pPr>
            <w:r w:rsidRPr="00134A1C">
              <w:rPr>
                <w:rFonts w:ascii="Arial" w:eastAsiaTheme="minorEastAsia" w:hAnsi="Arial" w:cs="Arial"/>
                <w:color w:val="000000"/>
                <w:sz w:val="20"/>
                <w:szCs w:val="24"/>
              </w:rPr>
              <w:t>WS Tarnobrzeg</w:t>
            </w:r>
          </w:p>
        </w:tc>
        <w:tc>
          <w:tcPr>
            <w:tcW w:w="1808" w:type="dxa"/>
            <w:shd w:val="clear" w:color="auto" w:fill="auto"/>
            <w:noWrap/>
            <w:vAlign w:val="center"/>
          </w:tcPr>
          <w:p w14:paraId="350D0AD6"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9 307 381,50</w:t>
            </w:r>
          </w:p>
        </w:tc>
        <w:tc>
          <w:tcPr>
            <w:tcW w:w="1809" w:type="dxa"/>
            <w:shd w:val="clear" w:color="auto" w:fill="auto"/>
            <w:noWrap/>
            <w:vAlign w:val="center"/>
          </w:tcPr>
          <w:p w14:paraId="5065814B"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1 620 000,00</w:t>
            </w:r>
          </w:p>
        </w:tc>
        <w:tc>
          <w:tcPr>
            <w:tcW w:w="1809" w:type="dxa"/>
            <w:shd w:val="clear" w:color="auto" w:fill="auto"/>
            <w:vAlign w:val="center"/>
            <w:hideMark/>
          </w:tcPr>
          <w:p w14:paraId="611DF402"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36 800 000,00</w:t>
            </w:r>
          </w:p>
        </w:tc>
        <w:tc>
          <w:tcPr>
            <w:tcW w:w="1809" w:type="dxa"/>
            <w:shd w:val="clear" w:color="auto" w:fill="auto"/>
            <w:noWrap/>
            <w:vAlign w:val="center"/>
            <w:hideMark/>
          </w:tcPr>
          <w:p w14:paraId="5526E1CB"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color w:val="000000"/>
                <w:sz w:val="20"/>
                <w:szCs w:val="24"/>
              </w:rPr>
              <w:t>27 492 618,50</w:t>
            </w:r>
          </w:p>
        </w:tc>
      </w:tr>
      <w:tr w:rsidR="005F75F7" w:rsidRPr="005F75F7" w14:paraId="351CF077" w14:textId="77777777" w:rsidTr="004D6B7C">
        <w:trPr>
          <w:trHeight w:val="288"/>
        </w:trPr>
        <w:tc>
          <w:tcPr>
            <w:tcW w:w="1691" w:type="dxa"/>
            <w:shd w:val="clear" w:color="auto" w:fill="auto"/>
            <w:noWrap/>
            <w:vAlign w:val="center"/>
            <w:hideMark/>
          </w:tcPr>
          <w:p w14:paraId="5549DFD3" w14:textId="77777777" w:rsidR="005F75F7" w:rsidRPr="00134A1C" w:rsidRDefault="005F75F7" w:rsidP="005F75F7">
            <w:pPr>
              <w:spacing w:after="120" w:line="264" w:lineRule="auto"/>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Razem</w:t>
            </w:r>
          </w:p>
        </w:tc>
        <w:tc>
          <w:tcPr>
            <w:tcW w:w="1808" w:type="dxa"/>
            <w:shd w:val="clear" w:color="auto" w:fill="auto"/>
            <w:noWrap/>
            <w:vAlign w:val="center"/>
            <w:hideMark/>
          </w:tcPr>
          <w:p w14:paraId="0E1C974B" w14:textId="77777777" w:rsidR="005F75F7" w:rsidRPr="00134A1C" w:rsidRDefault="005F75F7" w:rsidP="004D6B7C">
            <w:pPr>
              <w:spacing w:after="120" w:line="264" w:lineRule="auto"/>
              <w:jc w:val="right"/>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59 256 083,72</w:t>
            </w:r>
          </w:p>
        </w:tc>
        <w:tc>
          <w:tcPr>
            <w:tcW w:w="1809" w:type="dxa"/>
            <w:shd w:val="clear" w:color="auto" w:fill="auto"/>
            <w:noWrap/>
            <w:vAlign w:val="center"/>
            <w:hideMark/>
          </w:tcPr>
          <w:p w14:paraId="79E4D276" w14:textId="77777777" w:rsidR="005F75F7" w:rsidRPr="00134A1C" w:rsidRDefault="005F75F7" w:rsidP="004D6B7C">
            <w:pPr>
              <w:spacing w:after="120" w:line="264" w:lineRule="auto"/>
              <w:jc w:val="right"/>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52 762 697,86</w:t>
            </w:r>
          </w:p>
        </w:tc>
        <w:tc>
          <w:tcPr>
            <w:tcW w:w="1809" w:type="dxa"/>
            <w:shd w:val="clear" w:color="auto" w:fill="auto"/>
            <w:noWrap/>
            <w:vAlign w:val="center"/>
            <w:hideMark/>
          </w:tcPr>
          <w:p w14:paraId="5A6AFE3D" w14:textId="77777777" w:rsidR="005F75F7" w:rsidRPr="00134A1C" w:rsidRDefault="005F75F7" w:rsidP="004D6B7C">
            <w:pPr>
              <w:spacing w:after="120" w:line="264" w:lineRule="auto"/>
              <w:jc w:val="right"/>
              <w:rPr>
                <w:rFonts w:ascii="Arial" w:eastAsiaTheme="minorEastAsia" w:hAnsi="Arial" w:cs="Arial"/>
                <w:b/>
                <w:bCs/>
                <w:color w:val="000000"/>
                <w:sz w:val="20"/>
                <w:szCs w:val="24"/>
              </w:rPr>
            </w:pPr>
            <w:r w:rsidRPr="00134A1C">
              <w:rPr>
                <w:rFonts w:ascii="Arial" w:eastAsiaTheme="minorEastAsia" w:hAnsi="Arial" w:cs="Arial"/>
                <w:b/>
                <w:bCs/>
                <w:color w:val="000000"/>
                <w:sz w:val="20"/>
                <w:szCs w:val="24"/>
              </w:rPr>
              <w:t>332 800 000,00</w:t>
            </w:r>
          </w:p>
        </w:tc>
        <w:tc>
          <w:tcPr>
            <w:tcW w:w="1809" w:type="dxa"/>
            <w:shd w:val="clear" w:color="auto" w:fill="auto"/>
            <w:noWrap/>
            <w:vAlign w:val="center"/>
            <w:hideMark/>
          </w:tcPr>
          <w:p w14:paraId="55A85049" w14:textId="77777777" w:rsidR="005F75F7" w:rsidRPr="00134A1C" w:rsidRDefault="005F75F7" w:rsidP="004D6B7C">
            <w:pPr>
              <w:spacing w:after="120" w:line="264" w:lineRule="auto"/>
              <w:jc w:val="right"/>
              <w:rPr>
                <w:rFonts w:ascii="Arial" w:eastAsiaTheme="minorEastAsia" w:hAnsi="Arial" w:cs="Arial"/>
                <w:color w:val="000000"/>
                <w:sz w:val="20"/>
                <w:szCs w:val="24"/>
              </w:rPr>
            </w:pPr>
            <w:r w:rsidRPr="00134A1C">
              <w:rPr>
                <w:rFonts w:ascii="Arial" w:eastAsiaTheme="minorEastAsia" w:hAnsi="Arial" w:cs="Arial"/>
                <w:b/>
                <w:bCs/>
                <w:color w:val="000000"/>
                <w:sz w:val="20"/>
                <w:szCs w:val="24"/>
              </w:rPr>
              <w:t>273 543 916,28</w:t>
            </w:r>
          </w:p>
        </w:tc>
      </w:tr>
    </w:tbl>
    <w:p w14:paraId="3241C6F2" w14:textId="58C3BB20" w:rsidR="005F75F7" w:rsidRPr="00E161A4" w:rsidRDefault="005F75F7" w:rsidP="005F75F7">
      <w:pPr>
        <w:spacing w:before="120" w:after="240" w:line="264" w:lineRule="auto"/>
        <w:rPr>
          <w:rFonts w:ascii="Arial" w:eastAsia="Arial" w:hAnsi="Arial" w:cs="Arial"/>
          <w:sz w:val="20"/>
          <w:szCs w:val="21"/>
        </w:rPr>
        <w:sectPr w:rsidR="005F75F7" w:rsidRPr="00E161A4" w:rsidSect="00D902FC">
          <w:pgSz w:w="11906" w:h="16838"/>
          <w:pgMar w:top="993" w:right="1417" w:bottom="1417" w:left="1417" w:header="708" w:footer="708" w:gutter="0"/>
          <w:cols w:space="708"/>
          <w:docGrid w:linePitch="360"/>
        </w:sectPr>
      </w:pPr>
      <w:bookmarkStart w:id="5" w:name="_Hlk145577517"/>
      <w:r w:rsidRPr="00E161A4">
        <w:rPr>
          <w:rFonts w:ascii="Arial" w:eastAsia="Arial" w:hAnsi="Arial" w:cs="Arial"/>
          <w:sz w:val="20"/>
          <w:szCs w:val="21"/>
        </w:rPr>
        <w:t>Źródło: opracowanie własne na podstawie danych ze szpitali</w:t>
      </w:r>
      <w:r w:rsidR="00E161A4">
        <w:rPr>
          <w:rFonts w:ascii="Arial" w:eastAsia="Arial" w:hAnsi="Arial" w:cs="Arial"/>
          <w:sz w:val="20"/>
          <w:szCs w:val="21"/>
        </w:rPr>
        <w:t>.</w:t>
      </w:r>
    </w:p>
    <w:p w14:paraId="2079F0DB" w14:textId="77777777" w:rsidR="005F75F7" w:rsidRPr="005F75F7" w:rsidRDefault="005F75F7" w:rsidP="005F75F7">
      <w:pPr>
        <w:spacing w:before="120" w:after="240" w:line="264" w:lineRule="auto"/>
        <w:rPr>
          <w:rFonts w:eastAsia="Arial" w:cstheme="minorHAnsi"/>
          <w:sz w:val="20"/>
          <w:szCs w:val="21"/>
        </w:rPr>
      </w:pPr>
    </w:p>
    <w:bookmarkEnd w:id="5"/>
    <w:p w14:paraId="0119CB38" w14:textId="77777777" w:rsidR="005F75F7" w:rsidRPr="005F75F7" w:rsidRDefault="005F75F7" w:rsidP="00D902FC">
      <w:pPr>
        <w:pStyle w:val="Nagwek3"/>
      </w:pPr>
      <w:r w:rsidRPr="005F75F7">
        <w:t>wskaźnik wypłacalności =</w:t>
      </w:r>
    </w:p>
    <w:tbl>
      <w:tblPr>
        <w:tblW w:w="7797" w:type="dxa"/>
        <w:jc w:val="center"/>
        <w:tblCellMar>
          <w:top w:w="15" w:type="dxa"/>
          <w:left w:w="15" w:type="dxa"/>
          <w:bottom w:w="15" w:type="dxa"/>
          <w:right w:w="15" w:type="dxa"/>
        </w:tblCellMar>
        <w:tblLook w:val="04A0" w:firstRow="1" w:lastRow="0" w:firstColumn="1" w:lastColumn="0" w:noHBand="0" w:noVBand="1"/>
        <w:tblDescription w:val="wskaźnik wypłacalności to suma zobowiązań dlugoterminowych, krótkoterminowych i rezerw na zobowiązania podzielona przez fundusz własny"/>
      </w:tblPr>
      <w:tblGrid>
        <w:gridCol w:w="7797"/>
      </w:tblGrid>
      <w:tr w:rsidR="005F75F7" w:rsidRPr="005F75F7" w14:paraId="6DCCC593" w14:textId="77777777" w:rsidTr="00D902FC">
        <w:trPr>
          <w:jc w:val="center"/>
        </w:trPr>
        <w:tc>
          <w:tcPr>
            <w:tcW w:w="7797" w:type="dxa"/>
            <w:tcBorders>
              <w:bottom w:val="single" w:sz="4" w:space="0" w:color="auto"/>
              <w:right w:val="nil"/>
            </w:tcBorders>
            <w:vAlign w:val="center"/>
            <w:hideMark/>
          </w:tcPr>
          <w:p w14:paraId="5595C5A9" w14:textId="77777777" w:rsidR="005F75F7" w:rsidRPr="005F75F7" w:rsidRDefault="005F75F7" w:rsidP="005F75F7">
            <w:pPr>
              <w:spacing w:after="0" w:line="276"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Zobowiązania długoterminowe + zobowiązania krótkoterminowe + rezerwy na zobowiązania</w:t>
            </w:r>
          </w:p>
        </w:tc>
      </w:tr>
      <w:tr w:rsidR="005F75F7" w:rsidRPr="005F75F7" w14:paraId="07788B8F" w14:textId="77777777" w:rsidTr="00D902FC">
        <w:trPr>
          <w:jc w:val="center"/>
        </w:trPr>
        <w:tc>
          <w:tcPr>
            <w:tcW w:w="7797" w:type="dxa"/>
            <w:tcBorders>
              <w:top w:val="single" w:sz="4" w:space="0" w:color="auto"/>
              <w:right w:val="nil"/>
            </w:tcBorders>
            <w:vAlign w:val="center"/>
            <w:hideMark/>
          </w:tcPr>
          <w:p w14:paraId="63C49442" w14:textId="77777777" w:rsidR="005F75F7" w:rsidRPr="005F75F7" w:rsidRDefault="005F75F7" w:rsidP="005F75F7">
            <w:pPr>
              <w:spacing w:after="0" w:line="276"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Fundusz własny</w:t>
            </w:r>
          </w:p>
        </w:tc>
      </w:tr>
    </w:tbl>
    <w:p w14:paraId="0893004B" w14:textId="17FF6635" w:rsidR="0038635A" w:rsidRDefault="0038635A" w:rsidP="0038635A">
      <w:pPr>
        <w:pStyle w:val="Legenda"/>
        <w:keepNext/>
      </w:pPr>
      <w:r>
        <w:t xml:space="preserve">Tabela </w:t>
      </w:r>
      <w:fldSimple w:instr=" SEQ Tabela \* ARABIC ">
        <w:r w:rsidR="00FA0C2D">
          <w:rPr>
            <w:noProof/>
          </w:rPr>
          <w:t>10</w:t>
        </w:r>
      </w:fldSimple>
      <w:r>
        <w:t>. P</w:t>
      </w:r>
      <w:r w:rsidRPr="0038635A">
        <w:t>rzedziały wartości i ocena punktowa wskaźnika wypłacalności</w:t>
      </w:r>
      <w:r>
        <w:t>.</w:t>
      </w:r>
    </w:p>
    <w:tbl>
      <w:tblPr>
        <w:tblW w:w="9072" w:type="dxa"/>
        <w:tblInd w:w="-5" w:type="dxa"/>
        <w:tblCellMar>
          <w:top w:w="15" w:type="dxa"/>
          <w:left w:w="15" w:type="dxa"/>
          <w:bottom w:w="15" w:type="dxa"/>
          <w:right w:w="15" w:type="dxa"/>
        </w:tblCellMar>
        <w:tblLook w:val="04A0" w:firstRow="1" w:lastRow="0" w:firstColumn="1" w:lastColumn="0" w:noHBand="0" w:noVBand="1"/>
        <w:tblCaption w:val="Tabela 10. Przedziały wartości i ocena punktowa wskaźnika wypłacalności."/>
        <w:tblDescription w:val="Tabela zawiera: liczbę porządkową, przedziały wartości, ocenę punktową."/>
      </w:tblPr>
      <w:tblGrid>
        <w:gridCol w:w="788"/>
        <w:gridCol w:w="6097"/>
        <w:gridCol w:w="2187"/>
      </w:tblGrid>
      <w:tr w:rsidR="005F75F7" w:rsidRPr="005F75F7" w14:paraId="583D9954"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1AFA8CC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Lp.</w:t>
            </w:r>
          </w:p>
        </w:tc>
        <w:tc>
          <w:tcPr>
            <w:tcW w:w="6097" w:type="dxa"/>
            <w:tcBorders>
              <w:top w:val="single" w:sz="4" w:space="0" w:color="auto"/>
              <w:left w:val="single" w:sz="4" w:space="0" w:color="auto"/>
              <w:bottom w:val="single" w:sz="4" w:space="0" w:color="auto"/>
              <w:right w:val="single" w:sz="4" w:space="0" w:color="auto"/>
            </w:tcBorders>
            <w:vAlign w:val="center"/>
            <w:hideMark/>
          </w:tcPr>
          <w:p w14:paraId="18F6C70B"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Przedziały wartości</w:t>
            </w:r>
          </w:p>
        </w:tc>
        <w:tc>
          <w:tcPr>
            <w:tcW w:w="2187" w:type="dxa"/>
            <w:tcBorders>
              <w:top w:val="single" w:sz="4" w:space="0" w:color="auto"/>
              <w:left w:val="single" w:sz="4" w:space="0" w:color="auto"/>
              <w:bottom w:val="single" w:sz="4" w:space="0" w:color="auto"/>
              <w:right w:val="single" w:sz="4" w:space="0" w:color="auto"/>
            </w:tcBorders>
            <w:vAlign w:val="center"/>
            <w:hideMark/>
          </w:tcPr>
          <w:p w14:paraId="4E3EBF4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Ocena punktowa</w:t>
            </w:r>
          </w:p>
        </w:tc>
      </w:tr>
      <w:tr w:rsidR="005F75F7" w:rsidRPr="005F75F7" w14:paraId="1062A588"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4E3019B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w:t>
            </w:r>
          </w:p>
        </w:tc>
        <w:tc>
          <w:tcPr>
            <w:tcW w:w="6097" w:type="dxa"/>
            <w:tcBorders>
              <w:top w:val="single" w:sz="4" w:space="0" w:color="auto"/>
              <w:left w:val="single" w:sz="4" w:space="0" w:color="auto"/>
              <w:bottom w:val="single" w:sz="4" w:space="0" w:color="auto"/>
              <w:right w:val="single" w:sz="4" w:space="0" w:color="auto"/>
            </w:tcBorders>
            <w:vAlign w:val="center"/>
            <w:hideMark/>
          </w:tcPr>
          <w:p w14:paraId="2658228E"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0,00 do 0,50</w:t>
            </w:r>
          </w:p>
        </w:tc>
        <w:tc>
          <w:tcPr>
            <w:tcW w:w="2187" w:type="dxa"/>
            <w:tcBorders>
              <w:top w:val="single" w:sz="4" w:space="0" w:color="auto"/>
              <w:left w:val="single" w:sz="4" w:space="0" w:color="auto"/>
              <w:bottom w:val="single" w:sz="4" w:space="0" w:color="auto"/>
              <w:right w:val="single" w:sz="4" w:space="0" w:color="auto"/>
            </w:tcBorders>
            <w:vAlign w:val="center"/>
            <w:hideMark/>
          </w:tcPr>
          <w:p w14:paraId="1E327296"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10</w:t>
            </w:r>
          </w:p>
        </w:tc>
      </w:tr>
      <w:tr w:rsidR="005F75F7" w:rsidRPr="005F75F7" w14:paraId="16AF6DF5"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33751F5C"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2</w:t>
            </w:r>
          </w:p>
        </w:tc>
        <w:tc>
          <w:tcPr>
            <w:tcW w:w="6097" w:type="dxa"/>
            <w:tcBorders>
              <w:top w:val="single" w:sz="4" w:space="0" w:color="auto"/>
              <w:left w:val="single" w:sz="4" w:space="0" w:color="auto"/>
              <w:bottom w:val="single" w:sz="4" w:space="0" w:color="auto"/>
              <w:right w:val="single" w:sz="4" w:space="0" w:color="auto"/>
            </w:tcBorders>
            <w:vAlign w:val="center"/>
            <w:hideMark/>
          </w:tcPr>
          <w:p w14:paraId="2F40D4CE"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0,51 do 1,00</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530A825"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8</w:t>
            </w:r>
          </w:p>
        </w:tc>
      </w:tr>
      <w:tr w:rsidR="005F75F7" w:rsidRPr="005F75F7" w14:paraId="032C10E1"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631A13AA"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3</w:t>
            </w:r>
          </w:p>
        </w:tc>
        <w:tc>
          <w:tcPr>
            <w:tcW w:w="6097" w:type="dxa"/>
            <w:tcBorders>
              <w:top w:val="single" w:sz="4" w:space="0" w:color="auto"/>
              <w:left w:val="single" w:sz="4" w:space="0" w:color="auto"/>
              <w:bottom w:val="single" w:sz="4" w:space="0" w:color="auto"/>
              <w:right w:val="single" w:sz="4" w:space="0" w:color="auto"/>
            </w:tcBorders>
            <w:vAlign w:val="center"/>
            <w:hideMark/>
          </w:tcPr>
          <w:p w14:paraId="7A713B6B"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1,01 do 2,00</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5016FD4"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6</w:t>
            </w:r>
          </w:p>
        </w:tc>
      </w:tr>
      <w:tr w:rsidR="005F75F7" w:rsidRPr="005F75F7" w14:paraId="51F2A28D"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4C903AB0"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c>
          <w:tcPr>
            <w:tcW w:w="6097" w:type="dxa"/>
            <w:tcBorders>
              <w:top w:val="single" w:sz="4" w:space="0" w:color="auto"/>
              <w:left w:val="single" w:sz="4" w:space="0" w:color="auto"/>
              <w:bottom w:val="single" w:sz="4" w:space="0" w:color="auto"/>
              <w:right w:val="single" w:sz="4" w:space="0" w:color="auto"/>
            </w:tcBorders>
            <w:vAlign w:val="center"/>
            <w:hideMark/>
          </w:tcPr>
          <w:p w14:paraId="54285F8F"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od 2,01 do 4,00</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BE6D7D4"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4</w:t>
            </w:r>
          </w:p>
        </w:tc>
      </w:tr>
      <w:tr w:rsidR="005F75F7" w:rsidRPr="005F75F7" w14:paraId="53BF83BB" w14:textId="77777777" w:rsidTr="00D902FC">
        <w:trPr>
          <w:trHeight w:val="340"/>
        </w:trPr>
        <w:tc>
          <w:tcPr>
            <w:tcW w:w="788" w:type="dxa"/>
            <w:tcBorders>
              <w:top w:val="single" w:sz="4" w:space="0" w:color="auto"/>
              <w:left w:val="single" w:sz="4" w:space="0" w:color="auto"/>
              <w:bottom w:val="single" w:sz="4" w:space="0" w:color="auto"/>
              <w:right w:val="single" w:sz="4" w:space="0" w:color="auto"/>
            </w:tcBorders>
            <w:vAlign w:val="center"/>
            <w:hideMark/>
          </w:tcPr>
          <w:p w14:paraId="6452E073"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5</w:t>
            </w:r>
          </w:p>
        </w:tc>
        <w:tc>
          <w:tcPr>
            <w:tcW w:w="6097" w:type="dxa"/>
            <w:tcBorders>
              <w:top w:val="single" w:sz="4" w:space="0" w:color="auto"/>
              <w:left w:val="single" w:sz="4" w:space="0" w:color="auto"/>
              <w:bottom w:val="single" w:sz="4" w:space="0" w:color="auto"/>
              <w:right w:val="single" w:sz="4" w:space="0" w:color="auto"/>
            </w:tcBorders>
            <w:vAlign w:val="center"/>
            <w:hideMark/>
          </w:tcPr>
          <w:p w14:paraId="5A7984D3" w14:textId="77777777" w:rsidR="005F75F7" w:rsidRPr="005F75F7" w:rsidRDefault="005F75F7" w:rsidP="005F75F7">
            <w:pPr>
              <w:spacing w:after="0" w:line="240" w:lineRule="auto"/>
              <w:jc w:val="both"/>
              <w:rPr>
                <w:rFonts w:ascii="Arial" w:eastAsia="Times New Roman" w:hAnsi="Arial" w:cs="Arial"/>
                <w:sz w:val="24"/>
                <w:szCs w:val="24"/>
                <w:lang w:eastAsia="pl-PL"/>
              </w:rPr>
            </w:pPr>
            <w:r w:rsidRPr="005F75F7">
              <w:rPr>
                <w:rFonts w:ascii="Arial" w:eastAsia="Times New Roman" w:hAnsi="Arial" w:cs="Arial"/>
                <w:sz w:val="24"/>
                <w:szCs w:val="24"/>
                <w:lang w:eastAsia="pl-PL"/>
              </w:rPr>
              <w:t>powyżej 4,00 lub poniżej 0,00</w:t>
            </w:r>
          </w:p>
        </w:tc>
        <w:tc>
          <w:tcPr>
            <w:tcW w:w="2187" w:type="dxa"/>
            <w:tcBorders>
              <w:top w:val="single" w:sz="4" w:space="0" w:color="auto"/>
              <w:left w:val="single" w:sz="4" w:space="0" w:color="auto"/>
              <w:bottom w:val="single" w:sz="4" w:space="0" w:color="auto"/>
              <w:right w:val="single" w:sz="4" w:space="0" w:color="auto"/>
            </w:tcBorders>
            <w:vAlign w:val="center"/>
            <w:hideMark/>
          </w:tcPr>
          <w:p w14:paraId="02E985D2" w14:textId="77777777" w:rsidR="005F75F7" w:rsidRPr="005F75F7" w:rsidRDefault="005F75F7" w:rsidP="005F75F7">
            <w:pPr>
              <w:spacing w:after="0" w:line="240" w:lineRule="auto"/>
              <w:jc w:val="center"/>
              <w:rPr>
                <w:rFonts w:ascii="Arial" w:eastAsia="Times New Roman" w:hAnsi="Arial" w:cs="Arial"/>
                <w:sz w:val="24"/>
                <w:szCs w:val="24"/>
                <w:lang w:eastAsia="pl-PL"/>
              </w:rPr>
            </w:pPr>
            <w:r w:rsidRPr="005F75F7">
              <w:rPr>
                <w:rFonts w:ascii="Arial" w:eastAsia="Times New Roman" w:hAnsi="Arial" w:cs="Arial"/>
                <w:sz w:val="24"/>
                <w:szCs w:val="24"/>
                <w:lang w:eastAsia="pl-PL"/>
              </w:rPr>
              <w:t>0</w:t>
            </w:r>
          </w:p>
        </w:tc>
      </w:tr>
    </w:tbl>
    <w:p w14:paraId="752D90D9" w14:textId="77777777" w:rsidR="005F75F7" w:rsidRPr="005F75F7" w:rsidRDefault="005F75F7" w:rsidP="005F75F7">
      <w:pPr>
        <w:autoSpaceDE w:val="0"/>
        <w:autoSpaceDN w:val="0"/>
        <w:adjustRightInd w:val="0"/>
        <w:spacing w:before="240" w:after="120" w:line="276" w:lineRule="auto"/>
        <w:jc w:val="both"/>
        <w:rPr>
          <w:rFonts w:ascii="Arial" w:eastAsia="Times New Roman" w:hAnsi="Arial" w:cs="Arial"/>
          <w:color w:val="000000" w:themeColor="text1"/>
          <w:sz w:val="24"/>
          <w:szCs w:val="24"/>
          <w:lang w:eastAsia="pl-PL"/>
        </w:rPr>
      </w:pPr>
      <w:r w:rsidRPr="005F75F7">
        <w:rPr>
          <w:rFonts w:ascii="Arial" w:eastAsia="Times New Roman" w:hAnsi="Arial" w:cs="Arial"/>
          <w:color w:val="000000" w:themeColor="text1"/>
          <w:sz w:val="24"/>
          <w:szCs w:val="24"/>
          <w:lang w:eastAsia="pl-PL"/>
        </w:rPr>
        <w:t xml:space="preserve">Wskaźnik wypłacalności określa wielkość funduszy obcych przypadającą na jednostkę funduszu własnego. Wysoka wartość wskaźnika wskazuje na możliwość utraty zdolności do regulowania przez podmiot zobowiązań. </w:t>
      </w:r>
    </w:p>
    <w:p w14:paraId="4E1B66A8" w14:textId="672E0D8D" w:rsidR="005F75F7" w:rsidRPr="005F75F7" w:rsidRDefault="005F75F7" w:rsidP="00991B6C">
      <w:pPr>
        <w:autoSpaceDE w:val="0"/>
        <w:autoSpaceDN w:val="0"/>
        <w:adjustRightInd w:val="0"/>
        <w:spacing w:after="0" w:line="276" w:lineRule="auto"/>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Maksymalną wartość wskaźnika uzyskał Wojewódzki Ośrodek Terapii Uzależnień w Rzeszowie. Dwa punkty mniej uzyskał</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Wojewódzki Ośrodek Terapii Uzależnienia</w:t>
      </w:r>
      <w:r w:rsidR="00991B6C">
        <w:rPr>
          <w:rFonts w:ascii="Arial" w:eastAsiaTheme="minorEastAsia" w:hAnsi="Arial" w:cs="Arial"/>
          <w:color w:val="000000"/>
          <w:sz w:val="24"/>
          <w:szCs w:val="24"/>
        </w:rPr>
        <w:t xml:space="preserve"> </w:t>
      </w:r>
      <w:r w:rsidR="00991B6C">
        <w:rPr>
          <w:rFonts w:ascii="Arial" w:eastAsiaTheme="minorEastAsia" w:hAnsi="Arial" w:cs="Arial"/>
          <w:color w:val="000000"/>
          <w:sz w:val="24"/>
          <w:szCs w:val="24"/>
        </w:rPr>
        <w:br/>
      </w:r>
      <w:r w:rsidRPr="005F75F7">
        <w:rPr>
          <w:rFonts w:ascii="Arial" w:eastAsiaTheme="minorEastAsia" w:hAnsi="Arial" w:cs="Arial"/>
          <w:color w:val="000000"/>
          <w:sz w:val="24"/>
          <w:szCs w:val="24"/>
        </w:rPr>
        <w:t>od Alkoholu i Współuzależnienia w Stalowej Woli, oraz</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Wojewódzki Zespół Specjalistyczny w Rzeszowie, 6 punktów uzyskali: Wojewódzka Stacja Pogotowia Ratunkowego w Przemyślu SPZOZ,</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Wojewódzki Ośrodek Medycyny Pracy w  Rzeszowie,</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Wojewódzka Stacja Pogotowia Ratunkowego w Rzeszowie,</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Wojewódzki Podkarpacki Szpital Psychiatryczny im. prof. Eugeniusza Brzezickiego w Żurawicy.</w:t>
      </w:r>
    </w:p>
    <w:p w14:paraId="466E2CC4" w14:textId="3BBA69D3" w:rsidR="005F75F7" w:rsidRPr="005F75F7" w:rsidRDefault="005F75F7" w:rsidP="00E161A4">
      <w:pPr>
        <w:autoSpaceDE w:val="0"/>
        <w:autoSpaceDN w:val="0"/>
        <w:adjustRightInd w:val="0"/>
        <w:spacing w:after="0" w:line="276" w:lineRule="auto"/>
        <w:jc w:val="both"/>
        <w:rPr>
          <w:rFonts w:ascii="Arial" w:eastAsiaTheme="minorEastAsia" w:hAnsi="Arial" w:cs="Arial"/>
          <w:color w:val="000000"/>
          <w:sz w:val="24"/>
          <w:szCs w:val="24"/>
        </w:rPr>
      </w:pPr>
      <w:r w:rsidRPr="005F75F7">
        <w:rPr>
          <w:rFonts w:ascii="Arial" w:eastAsiaTheme="minorEastAsia" w:hAnsi="Arial" w:cs="Arial"/>
          <w:color w:val="000000"/>
          <w:sz w:val="24"/>
          <w:szCs w:val="24"/>
        </w:rPr>
        <w:t>4</w:t>
      </w:r>
      <w:r w:rsidR="00991B6C">
        <w:rPr>
          <w:rFonts w:ascii="Arial" w:eastAsiaTheme="minorEastAsia" w:hAnsi="Arial" w:cs="Arial"/>
          <w:color w:val="000000"/>
          <w:sz w:val="24"/>
          <w:szCs w:val="24"/>
        </w:rPr>
        <w:t xml:space="preserve"> </w:t>
      </w:r>
      <w:r w:rsidRPr="005F75F7">
        <w:rPr>
          <w:rFonts w:ascii="Arial" w:eastAsiaTheme="minorEastAsia" w:hAnsi="Arial" w:cs="Arial"/>
          <w:color w:val="000000"/>
          <w:sz w:val="24"/>
          <w:szCs w:val="24"/>
        </w:rPr>
        <w:t xml:space="preserve">punkty uzyskały: Specjalistyczny Psychiatryczny Zespół Opieki Zdrowotnej </w:t>
      </w:r>
      <w:r w:rsidR="00E161A4">
        <w:rPr>
          <w:rFonts w:ascii="Arial" w:eastAsiaTheme="minorEastAsia" w:hAnsi="Arial" w:cs="Arial"/>
          <w:color w:val="000000"/>
          <w:sz w:val="24"/>
          <w:szCs w:val="24"/>
        </w:rPr>
        <w:br/>
      </w:r>
      <w:r w:rsidRPr="005F75F7">
        <w:rPr>
          <w:rFonts w:ascii="Arial" w:eastAsiaTheme="minorEastAsia" w:hAnsi="Arial" w:cs="Arial"/>
          <w:color w:val="000000"/>
          <w:sz w:val="24"/>
          <w:szCs w:val="24"/>
        </w:rPr>
        <w:t>w</w:t>
      </w:r>
      <w:r w:rsidR="00E161A4">
        <w:rPr>
          <w:rFonts w:ascii="Arial" w:eastAsiaTheme="minorEastAsia" w:hAnsi="Arial" w:cs="Arial"/>
          <w:color w:val="000000"/>
          <w:sz w:val="24"/>
          <w:szCs w:val="24"/>
        </w:rPr>
        <w:t xml:space="preserve"> </w:t>
      </w:r>
      <w:r w:rsidRPr="005F75F7">
        <w:rPr>
          <w:rFonts w:ascii="Arial" w:eastAsiaTheme="minorEastAsia" w:hAnsi="Arial" w:cs="Arial"/>
          <w:color w:val="000000"/>
          <w:sz w:val="24"/>
          <w:szCs w:val="24"/>
        </w:rPr>
        <w:t>Jarosławiu,</w:t>
      </w:r>
      <w:r w:rsidRPr="005F75F7">
        <w:rPr>
          <w:rFonts w:ascii="Times New Roman" w:eastAsiaTheme="minorEastAsia" w:hAnsi="Times New Roman" w:cs="Times New Roman"/>
          <w:color w:val="000000"/>
          <w:sz w:val="24"/>
          <w:szCs w:val="24"/>
        </w:rPr>
        <w:t xml:space="preserve"> </w:t>
      </w:r>
      <w:r w:rsidRPr="005F75F7">
        <w:rPr>
          <w:rFonts w:ascii="Arial" w:eastAsiaTheme="minorEastAsia" w:hAnsi="Arial" w:cs="Arial"/>
          <w:color w:val="000000"/>
          <w:sz w:val="24"/>
          <w:szCs w:val="24"/>
        </w:rPr>
        <w:t>Podkarpackie Centrum Medyczne w Rzeszowie SPZOZ,</w:t>
      </w:r>
      <w:r w:rsidR="00E161A4">
        <w:rPr>
          <w:rFonts w:ascii="Arial" w:eastAsiaTheme="minorEastAsia" w:hAnsi="Arial" w:cs="Arial"/>
          <w:color w:val="000000"/>
          <w:sz w:val="24"/>
          <w:szCs w:val="24"/>
        </w:rPr>
        <w:t xml:space="preserve"> </w:t>
      </w:r>
      <w:r w:rsidR="00E161A4">
        <w:rPr>
          <w:rFonts w:ascii="Arial" w:eastAsiaTheme="minorEastAsia" w:hAnsi="Arial" w:cs="Arial"/>
          <w:color w:val="000000"/>
          <w:sz w:val="24"/>
          <w:szCs w:val="24"/>
        </w:rPr>
        <w:br/>
        <w:t>n</w:t>
      </w:r>
      <w:r w:rsidRPr="005F75F7">
        <w:rPr>
          <w:rFonts w:ascii="Arial" w:eastAsiaTheme="minorEastAsia" w:hAnsi="Arial" w:cs="Arial"/>
          <w:color w:val="000000"/>
          <w:sz w:val="24"/>
          <w:szCs w:val="24"/>
        </w:rPr>
        <w:t>atomiast 0 punktów uzyskały 4 szpitale.</w:t>
      </w:r>
    </w:p>
    <w:p w14:paraId="0BB84621" w14:textId="77777777" w:rsidR="005F75F7" w:rsidRPr="005F75F7" w:rsidRDefault="005F75F7" w:rsidP="005F75F7">
      <w:pPr>
        <w:autoSpaceDE w:val="0"/>
        <w:autoSpaceDN w:val="0"/>
        <w:adjustRightInd w:val="0"/>
        <w:spacing w:after="360" w:line="276" w:lineRule="auto"/>
        <w:jc w:val="both"/>
        <w:rPr>
          <w:rFonts w:ascii="Arial" w:eastAsiaTheme="minorEastAsia" w:hAnsi="Arial" w:cs="Arial"/>
          <w:sz w:val="24"/>
          <w:szCs w:val="24"/>
        </w:rPr>
      </w:pPr>
      <w:r w:rsidRPr="005F75F7">
        <w:rPr>
          <w:rFonts w:ascii="Arial" w:eastAsiaTheme="minorEastAsia" w:hAnsi="Arial" w:cs="Arial"/>
          <w:sz w:val="24"/>
          <w:szCs w:val="24"/>
        </w:rPr>
        <w:t>Wysoki wskaźnik zadłużenia aktywów świadczy o dużym ryzyku finansowym, informując jednocześnie, że Szpital może utracić zdolność do zwrotu długów.</w:t>
      </w:r>
    </w:p>
    <w:p w14:paraId="37671B2F" w14:textId="77777777" w:rsidR="005F75F7" w:rsidRPr="005F75F7" w:rsidRDefault="005F75F7" w:rsidP="005F75F7">
      <w:pPr>
        <w:spacing w:after="120" w:line="276" w:lineRule="auto"/>
        <w:ind w:firstLine="709"/>
        <w:jc w:val="both"/>
        <w:rPr>
          <w:rFonts w:ascii="Arial" w:eastAsia="Times New Roman" w:hAnsi="Arial" w:cs="Arial"/>
          <w:color w:val="000000" w:themeColor="text1"/>
          <w:sz w:val="24"/>
          <w:szCs w:val="24"/>
          <w:lang w:eastAsia="pl-PL"/>
        </w:rPr>
      </w:pPr>
      <w:r w:rsidRPr="005F75F7">
        <w:rPr>
          <w:rFonts w:ascii="Arial" w:eastAsia="Times New Roman" w:hAnsi="Arial" w:cs="Arial"/>
          <w:color w:val="000000" w:themeColor="text1"/>
          <w:sz w:val="24"/>
          <w:szCs w:val="24"/>
          <w:lang w:eastAsia="pl-PL"/>
        </w:rPr>
        <w:t>Porównując ocenę sytuacji ekonomiczno-finansowej jednostek za 2022 rok w stosunku do roku 2021 należy zauważyć, że:</w:t>
      </w:r>
    </w:p>
    <w:p w14:paraId="098AA096" w14:textId="49E88FAD"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imes New Roman" w:hAnsi="Arial" w:cs="Arial"/>
          <w:color w:val="000000" w:themeColor="text1"/>
          <w:sz w:val="24"/>
          <w:szCs w:val="24"/>
          <w:lang w:eastAsia="pl-PL"/>
        </w:rPr>
        <w:t xml:space="preserve">Kliniczny Szpital Wojewódzki Nr 2 w Rzeszowie – </w:t>
      </w:r>
      <w:r w:rsidRPr="005F75F7">
        <w:rPr>
          <w:rFonts w:ascii="Arial" w:eastAsia="Times New Roman" w:hAnsi="Arial" w:cs="Arial"/>
          <w:b/>
          <w:bCs/>
          <w:color w:val="000000" w:themeColor="text1"/>
          <w:sz w:val="24"/>
          <w:szCs w:val="24"/>
          <w:lang w:eastAsia="pl-PL"/>
        </w:rPr>
        <w:t>łączna ocena punktowa</w:t>
      </w:r>
      <w:r w:rsidRPr="005F75F7">
        <w:rPr>
          <w:rFonts w:ascii="Arial" w:eastAsia="Times New Roman" w:hAnsi="Arial" w:cs="Arial"/>
          <w:color w:val="000000" w:themeColor="text1"/>
          <w:sz w:val="24"/>
          <w:szCs w:val="24"/>
          <w:lang w:eastAsia="pl-PL"/>
        </w:rPr>
        <w:t xml:space="preserve"> za rok 2022 jest większa</w:t>
      </w:r>
      <w:r w:rsidRPr="005F75F7">
        <w:rPr>
          <w:rFonts w:ascii="Arial" w:eastAsia="Times New Roman" w:hAnsi="Arial" w:cs="Arial"/>
          <w:b/>
          <w:bCs/>
          <w:color w:val="000000" w:themeColor="text1"/>
          <w:sz w:val="24"/>
          <w:szCs w:val="24"/>
          <w:lang w:eastAsia="pl-PL"/>
        </w:rPr>
        <w:t xml:space="preserve"> o 1 pkt od oceny za rok 2021</w:t>
      </w:r>
      <w:r w:rsidRPr="005F75F7">
        <w:rPr>
          <w:rFonts w:ascii="Arial" w:eastAsia="Times New Roman" w:hAnsi="Arial" w:cs="Arial"/>
          <w:color w:val="000000" w:themeColor="text1"/>
          <w:sz w:val="24"/>
          <w:szCs w:val="24"/>
          <w:lang w:eastAsia="pl-PL"/>
        </w:rPr>
        <w:t xml:space="preserve">, poprawie uległ wskaźnik zyskowności aktywów, szpital nie posiada zobowiązań wymagalnych, osiągnął dodatni wynik finansowy, zwiększył przychody ogółem o 36 mln zł, spłata kredytu restrukturyzacyjnego wpłynęła na poprawę wskaźnika zadłużenia aktywów. </w:t>
      </w:r>
      <w:r w:rsidR="00E161A4">
        <w:rPr>
          <w:rFonts w:ascii="Arial" w:eastAsia="Times New Roman" w:hAnsi="Arial" w:cs="Arial"/>
          <w:color w:val="000000" w:themeColor="text1"/>
          <w:sz w:val="24"/>
          <w:szCs w:val="24"/>
          <w:lang w:eastAsia="pl-PL"/>
        </w:rPr>
        <w:br/>
      </w:r>
      <w:r w:rsidRPr="005F75F7">
        <w:rPr>
          <w:rFonts w:ascii="Arial" w:eastAsia="Times New Roman" w:hAnsi="Arial" w:cs="Arial"/>
          <w:color w:val="000000" w:themeColor="text1"/>
          <w:sz w:val="24"/>
          <w:szCs w:val="24"/>
          <w:lang w:eastAsia="pl-PL"/>
        </w:rPr>
        <w:t>W</w:t>
      </w:r>
      <w:r w:rsidR="00E161A4">
        <w:rPr>
          <w:rFonts w:ascii="Arial" w:eastAsia="Times New Roman" w:hAnsi="Arial" w:cs="Arial"/>
          <w:color w:val="000000" w:themeColor="text1"/>
          <w:sz w:val="24"/>
          <w:szCs w:val="24"/>
          <w:lang w:eastAsia="pl-PL"/>
        </w:rPr>
        <w:t xml:space="preserve"> </w:t>
      </w:r>
      <w:r w:rsidRPr="005F75F7">
        <w:rPr>
          <w:rFonts w:ascii="Arial" w:eastAsia="Times New Roman" w:hAnsi="Arial" w:cs="Arial"/>
          <w:color w:val="000000" w:themeColor="text1"/>
          <w:sz w:val="24"/>
          <w:szCs w:val="24"/>
          <w:lang w:eastAsia="pl-PL"/>
        </w:rPr>
        <w:t>wyniku generowania straty przez kilka ostatnich lat Szpital posiada ujemne kapitały własne.</w:t>
      </w:r>
    </w:p>
    <w:p w14:paraId="263F4B0C" w14:textId="1D4B8A43"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imes New Roman" w:hAnsi="Arial" w:cs="Arial"/>
          <w:color w:val="000000" w:themeColor="text1"/>
          <w:sz w:val="24"/>
          <w:szCs w:val="24"/>
          <w:lang w:eastAsia="pl-PL"/>
        </w:rPr>
        <w:t xml:space="preserve">Wojewódzki Szpital Podkarpacki w Krośnie – </w:t>
      </w:r>
      <w:r w:rsidRPr="005F75F7">
        <w:rPr>
          <w:rFonts w:ascii="Arial" w:eastAsia="Times New Roman" w:hAnsi="Arial" w:cs="Arial"/>
          <w:b/>
          <w:bCs/>
          <w:color w:val="000000" w:themeColor="text1"/>
          <w:sz w:val="24"/>
          <w:szCs w:val="24"/>
          <w:lang w:eastAsia="pl-PL"/>
        </w:rPr>
        <w:t>ocena punktowa za 2022 rok wzrosła w porównaniu do roku poprzedniego o 12 pkt,</w:t>
      </w:r>
      <w:r w:rsidRPr="005F75F7">
        <w:rPr>
          <w:rFonts w:ascii="Arial" w:eastAsia="Times New Roman" w:hAnsi="Arial" w:cs="Arial"/>
          <w:color w:val="000000" w:themeColor="text1"/>
          <w:sz w:val="24"/>
          <w:szCs w:val="24"/>
          <w:lang w:eastAsia="pl-PL"/>
        </w:rPr>
        <w:t xml:space="preserve"> mimo ujemnego wyniku </w:t>
      </w:r>
      <w:r w:rsidRPr="005F75F7">
        <w:rPr>
          <w:rFonts w:ascii="Arial" w:eastAsia="Times New Roman" w:hAnsi="Arial" w:cs="Arial"/>
          <w:color w:val="000000" w:themeColor="text1"/>
          <w:sz w:val="24"/>
          <w:szCs w:val="24"/>
          <w:lang w:eastAsia="pl-PL"/>
        </w:rPr>
        <w:lastRenderedPageBreak/>
        <w:t>finansowego szpital poprawił wskaźniki płynności – zwiększył przychody ze sprzedaży o prawie 6</w:t>
      </w:r>
      <w:r w:rsidR="00E161A4">
        <w:rPr>
          <w:rFonts w:ascii="Arial" w:eastAsia="Times New Roman" w:hAnsi="Arial" w:cs="Arial"/>
          <w:color w:val="000000" w:themeColor="text1"/>
          <w:sz w:val="24"/>
          <w:szCs w:val="24"/>
          <w:lang w:eastAsia="pl-PL"/>
        </w:rPr>
        <w:t xml:space="preserve">0 </w:t>
      </w:r>
      <w:r w:rsidRPr="005F75F7">
        <w:rPr>
          <w:rFonts w:ascii="Arial" w:eastAsia="Times New Roman" w:hAnsi="Arial" w:cs="Arial"/>
          <w:color w:val="000000" w:themeColor="text1"/>
          <w:sz w:val="24"/>
          <w:szCs w:val="24"/>
          <w:lang w:eastAsia="pl-PL"/>
        </w:rPr>
        <w:t>mln zł. Zwiększeniu w 2022 r. także kwotę kredytu restrukturyzacyjnego i spłacił posiadane zobowiązania wymagalne, jednak niekonsekwencja w realizacji zaktualizowanego programu naprawczego skutkuje ponownym narastaniem zobowiązań wymagalnych.</w:t>
      </w:r>
    </w:p>
    <w:p w14:paraId="652ED9CF" w14:textId="77777777"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Wojewódzki Szpital im. Św. Ojca Pio w Przemyślu – </w:t>
      </w:r>
      <w:r w:rsidRPr="005F75F7">
        <w:rPr>
          <w:rFonts w:ascii="Arial" w:eastAsiaTheme="minorEastAsia" w:hAnsi="Arial" w:cs="Arial"/>
          <w:b/>
          <w:bCs/>
          <w:color w:val="000000" w:themeColor="text1"/>
          <w:sz w:val="24"/>
          <w:szCs w:val="24"/>
        </w:rPr>
        <w:t>zmniejszył łączną</w:t>
      </w:r>
      <w:r w:rsidRPr="005F75F7">
        <w:rPr>
          <w:rFonts w:ascii="Arial" w:eastAsiaTheme="minorEastAsia" w:hAnsi="Arial" w:cs="Arial"/>
          <w:color w:val="000000" w:themeColor="text1"/>
          <w:sz w:val="24"/>
          <w:szCs w:val="24"/>
        </w:rPr>
        <w:t xml:space="preserve"> </w:t>
      </w:r>
      <w:r w:rsidRPr="005F75F7">
        <w:rPr>
          <w:rFonts w:ascii="Arial" w:eastAsiaTheme="minorEastAsia" w:hAnsi="Arial" w:cs="Arial"/>
          <w:b/>
          <w:bCs/>
          <w:color w:val="000000" w:themeColor="text1"/>
          <w:sz w:val="24"/>
          <w:szCs w:val="24"/>
        </w:rPr>
        <w:t xml:space="preserve">ocenę punktową w 2022 roku o 4 punkty </w:t>
      </w:r>
      <w:r w:rsidRPr="005F75F7">
        <w:rPr>
          <w:rFonts w:ascii="Arial" w:eastAsiaTheme="minorEastAsia" w:hAnsi="Arial" w:cs="Arial"/>
          <w:color w:val="000000" w:themeColor="text1"/>
          <w:sz w:val="24"/>
          <w:szCs w:val="24"/>
        </w:rPr>
        <w:t>w stosunku do roku poprzedniego, spadek ten nastąpił we wskaźnikach zyskowności. Przyczyną tego spadku było zmniejszenie się zysku o ponad 10 mln zł.</w:t>
      </w:r>
    </w:p>
    <w:p w14:paraId="5166BADB" w14:textId="1671A7C0"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imes New Roman" w:hAnsi="Arial" w:cs="Arial"/>
          <w:color w:val="000000" w:themeColor="text1"/>
          <w:sz w:val="24"/>
          <w:szCs w:val="24"/>
          <w:lang w:eastAsia="pl-PL"/>
        </w:rPr>
        <w:t xml:space="preserve">Wojewódzki Szpital w Tarnobrzegu – </w:t>
      </w:r>
      <w:r w:rsidRPr="005F75F7">
        <w:rPr>
          <w:rFonts w:ascii="Arial" w:eastAsia="Times New Roman" w:hAnsi="Arial" w:cs="Arial"/>
          <w:b/>
          <w:bCs/>
          <w:color w:val="000000" w:themeColor="text1"/>
          <w:sz w:val="24"/>
          <w:szCs w:val="24"/>
          <w:lang w:eastAsia="pl-PL"/>
        </w:rPr>
        <w:t>ocena punktowa</w:t>
      </w:r>
      <w:r w:rsidRPr="005F75F7">
        <w:rPr>
          <w:rFonts w:ascii="Arial" w:eastAsia="Times New Roman" w:hAnsi="Arial" w:cs="Arial"/>
          <w:color w:val="000000" w:themeColor="text1"/>
          <w:sz w:val="24"/>
          <w:szCs w:val="24"/>
          <w:lang w:eastAsia="pl-PL"/>
        </w:rPr>
        <w:t xml:space="preserve"> </w:t>
      </w:r>
      <w:r w:rsidRPr="005F75F7">
        <w:rPr>
          <w:rFonts w:ascii="Arial" w:eastAsia="Times New Roman" w:hAnsi="Arial" w:cs="Arial"/>
          <w:b/>
          <w:bCs/>
          <w:color w:val="000000" w:themeColor="text1"/>
          <w:sz w:val="24"/>
          <w:szCs w:val="24"/>
          <w:lang w:eastAsia="pl-PL"/>
        </w:rPr>
        <w:t>za 2022 rok uległa pogorszeniu o 4 pkt,</w:t>
      </w:r>
      <w:r w:rsidRPr="005F75F7">
        <w:rPr>
          <w:rFonts w:ascii="Arial" w:eastAsia="Times New Roman" w:hAnsi="Arial" w:cs="Arial"/>
          <w:color w:val="000000" w:themeColor="text1"/>
          <w:sz w:val="24"/>
          <w:szCs w:val="24"/>
          <w:lang w:eastAsia="pl-PL"/>
        </w:rPr>
        <w:t xml:space="preserve"> </w:t>
      </w:r>
      <w:r w:rsidRPr="005F75F7">
        <w:rPr>
          <w:rFonts w:ascii="Arial" w:eastAsia="Times New Roman" w:hAnsi="Arial" w:cs="Arial"/>
          <w:b/>
          <w:bCs/>
          <w:color w:val="000000" w:themeColor="text1"/>
          <w:sz w:val="24"/>
          <w:szCs w:val="24"/>
          <w:lang w:eastAsia="pl-PL"/>
        </w:rPr>
        <w:t xml:space="preserve">ze </w:t>
      </w:r>
      <w:r w:rsidRPr="005F75F7">
        <w:rPr>
          <w:rFonts w:ascii="Arial" w:eastAsia="Times New Roman" w:hAnsi="Arial" w:cs="Arial"/>
          <w:b/>
          <w:color w:val="000000" w:themeColor="text1"/>
          <w:sz w:val="24"/>
          <w:szCs w:val="24"/>
          <w:lang w:eastAsia="pl-PL"/>
        </w:rPr>
        <w:t xml:space="preserve">względu na brak konsekwencji w realizacji programu naprawczego, szpital osiągnął stratę netto i wymagał jej pokrycia przez Samorząd Województwa. </w:t>
      </w:r>
      <w:r w:rsidRPr="005F75F7">
        <w:rPr>
          <w:rFonts w:ascii="Arial" w:eastAsia="Times New Roman" w:hAnsi="Arial" w:cs="Arial"/>
          <w:color w:val="000000" w:themeColor="text1"/>
          <w:sz w:val="24"/>
          <w:szCs w:val="24"/>
          <w:lang w:eastAsia="pl-PL"/>
        </w:rPr>
        <w:t xml:space="preserve">Dalszemu pogorszeniu uległy wskaźniki płynności, </w:t>
      </w:r>
      <w:r w:rsidR="00E161A4">
        <w:rPr>
          <w:rFonts w:ascii="Arial" w:eastAsia="Times New Roman" w:hAnsi="Arial" w:cs="Arial"/>
          <w:color w:val="000000" w:themeColor="text1"/>
          <w:sz w:val="24"/>
          <w:szCs w:val="24"/>
          <w:lang w:eastAsia="pl-PL"/>
        </w:rPr>
        <w:br/>
      </w:r>
      <w:r w:rsidRPr="005F75F7">
        <w:rPr>
          <w:rFonts w:ascii="Arial" w:eastAsia="Times New Roman" w:hAnsi="Arial" w:cs="Arial"/>
          <w:color w:val="000000" w:themeColor="text1"/>
          <w:sz w:val="24"/>
          <w:szCs w:val="24"/>
          <w:lang w:eastAsia="pl-PL"/>
        </w:rPr>
        <w:t>co</w:t>
      </w:r>
      <w:r w:rsidR="00E161A4">
        <w:rPr>
          <w:rFonts w:ascii="Arial" w:eastAsia="Times New Roman" w:hAnsi="Arial" w:cs="Arial"/>
          <w:color w:val="000000" w:themeColor="text1"/>
          <w:sz w:val="24"/>
          <w:szCs w:val="24"/>
          <w:lang w:eastAsia="pl-PL"/>
        </w:rPr>
        <w:t xml:space="preserve"> </w:t>
      </w:r>
      <w:r w:rsidRPr="005F75F7">
        <w:rPr>
          <w:rFonts w:ascii="Arial" w:eastAsia="Times New Roman" w:hAnsi="Arial" w:cs="Arial"/>
          <w:color w:val="000000" w:themeColor="text1"/>
          <w:sz w:val="24"/>
          <w:szCs w:val="24"/>
          <w:lang w:eastAsia="pl-PL"/>
        </w:rPr>
        <w:t>znajduje odzwierciedlenie w rosnących zobowiązaniach wymagalnych i pogorszeniu wskaźnika zadłużenia aktywów. W wyniku generowania straty przez kilka ostatnich lat Szpital posiada ujemne kapitały własne.</w:t>
      </w:r>
    </w:p>
    <w:p w14:paraId="6D1B4989" w14:textId="213D1D8F"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Specjalistyczny Psychiatryczny Zespół Opieki Zdrowotnej w Jarosławiu – </w:t>
      </w:r>
      <w:r w:rsidRPr="005F75F7">
        <w:rPr>
          <w:rFonts w:ascii="Arial" w:eastAsiaTheme="minorEastAsia" w:hAnsi="Arial" w:cs="Arial"/>
          <w:b/>
          <w:bCs/>
          <w:color w:val="000000" w:themeColor="text1"/>
          <w:sz w:val="24"/>
          <w:szCs w:val="24"/>
        </w:rPr>
        <w:t>zwiększył łączną</w:t>
      </w:r>
      <w:r w:rsidRPr="005F75F7">
        <w:rPr>
          <w:rFonts w:ascii="Arial" w:eastAsiaTheme="minorEastAsia" w:hAnsi="Arial" w:cs="Arial"/>
          <w:color w:val="000000" w:themeColor="text1"/>
          <w:sz w:val="24"/>
          <w:szCs w:val="24"/>
        </w:rPr>
        <w:t xml:space="preserve"> </w:t>
      </w:r>
      <w:r w:rsidRPr="005F75F7">
        <w:rPr>
          <w:rFonts w:ascii="Arial" w:eastAsiaTheme="minorEastAsia" w:hAnsi="Arial" w:cs="Arial"/>
          <w:b/>
          <w:bCs/>
          <w:color w:val="000000" w:themeColor="text1"/>
          <w:sz w:val="24"/>
          <w:szCs w:val="24"/>
        </w:rPr>
        <w:t>ocenę punktową w 2022 roku o 3 punktów</w:t>
      </w:r>
      <w:r w:rsidRPr="005F75F7">
        <w:rPr>
          <w:rFonts w:ascii="Arial" w:eastAsiaTheme="minorEastAsia" w:hAnsi="Arial" w:cs="Arial"/>
          <w:color w:val="000000" w:themeColor="text1"/>
          <w:sz w:val="24"/>
          <w:szCs w:val="24"/>
        </w:rPr>
        <w:t xml:space="preserve"> w stosunku do roku poprzedniego. Osiągnął dodatni wynik finansowy, zwiększył przychody ze sprzedaży o prawie 8,94 mln zł poprawiając wskaźniki zyskowności. Szpital </w:t>
      </w:r>
      <w:r w:rsidR="00E161A4">
        <w:rPr>
          <w:rFonts w:ascii="Arial" w:eastAsiaTheme="minorEastAsia" w:hAnsi="Arial" w:cs="Arial"/>
          <w:color w:val="000000" w:themeColor="text1"/>
          <w:sz w:val="24"/>
          <w:szCs w:val="24"/>
        </w:rPr>
        <w:br/>
      </w:r>
      <w:r w:rsidRPr="005F75F7">
        <w:rPr>
          <w:rFonts w:ascii="Arial" w:eastAsiaTheme="minorEastAsia" w:hAnsi="Arial" w:cs="Arial"/>
          <w:color w:val="000000" w:themeColor="text1"/>
          <w:sz w:val="24"/>
          <w:szCs w:val="24"/>
        </w:rPr>
        <w:t>od kilku lat utrzymuje stabilną sytuację finansową.</w:t>
      </w:r>
    </w:p>
    <w:p w14:paraId="4AE0EEC7" w14:textId="77777777"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Wojewódzki Podkarpacki Szpital Psychiatryczny im. prof. Eugeniusza Brzezickiego w Żurawicy – zmniejszył łączną </w:t>
      </w:r>
      <w:r w:rsidRPr="005F75F7">
        <w:rPr>
          <w:rFonts w:ascii="Arial" w:eastAsiaTheme="minorEastAsia" w:hAnsi="Arial" w:cs="Arial"/>
          <w:b/>
          <w:bCs/>
          <w:color w:val="000000" w:themeColor="text1"/>
          <w:sz w:val="24"/>
          <w:szCs w:val="24"/>
        </w:rPr>
        <w:t>ocenę punktową w 2022 roku o 15 punktów</w:t>
      </w:r>
      <w:r w:rsidRPr="005F75F7">
        <w:rPr>
          <w:rFonts w:ascii="Arial" w:eastAsiaTheme="minorEastAsia" w:hAnsi="Arial" w:cs="Arial"/>
          <w:color w:val="000000" w:themeColor="text1"/>
          <w:sz w:val="24"/>
          <w:szCs w:val="24"/>
        </w:rPr>
        <w:t xml:space="preserve"> w stosunku do roku poprzedniego. Spadek ten nastąpił we wskaźnikach zyskowności tj. o 9 pkt ze względu na poniesioną stratę w 2022 r. oraz pogorszeniu się płynności bieżącej, co skutkowało pogorszeniem się wskaźnika wypłacalności o 2 pkt. </w:t>
      </w:r>
    </w:p>
    <w:p w14:paraId="32351240" w14:textId="77777777"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Wojewódzki Zespół Specjalistyczny w Rzeszowie – </w:t>
      </w:r>
      <w:r w:rsidRPr="005F75F7">
        <w:rPr>
          <w:rFonts w:ascii="Arial" w:eastAsiaTheme="minorEastAsia" w:hAnsi="Arial" w:cs="Arial"/>
          <w:b/>
          <w:bCs/>
          <w:color w:val="000000" w:themeColor="text1"/>
          <w:sz w:val="24"/>
          <w:szCs w:val="24"/>
        </w:rPr>
        <w:t>zwiększył łączną</w:t>
      </w:r>
      <w:r w:rsidRPr="005F75F7">
        <w:rPr>
          <w:rFonts w:ascii="Arial" w:eastAsiaTheme="minorEastAsia" w:hAnsi="Arial" w:cs="Arial"/>
          <w:color w:val="000000" w:themeColor="text1"/>
          <w:sz w:val="24"/>
          <w:szCs w:val="24"/>
        </w:rPr>
        <w:t xml:space="preserve"> </w:t>
      </w:r>
      <w:r w:rsidRPr="004D6B7C">
        <w:rPr>
          <w:rFonts w:ascii="Arial" w:eastAsiaTheme="minorEastAsia" w:hAnsi="Arial" w:cs="Arial"/>
          <w:b/>
          <w:color w:val="000000" w:themeColor="text1"/>
          <w:sz w:val="24"/>
          <w:szCs w:val="24"/>
        </w:rPr>
        <w:t>o</w:t>
      </w:r>
      <w:r w:rsidRPr="005F75F7">
        <w:rPr>
          <w:rFonts w:ascii="Arial" w:eastAsiaTheme="minorEastAsia" w:hAnsi="Arial" w:cs="Arial"/>
          <w:b/>
          <w:bCs/>
          <w:color w:val="000000" w:themeColor="text1"/>
          <w:sz w:val="24"/>
          <w:szCs w:val="24"/>
        </w:rPr>
        <w:t>cenę punktową w 2022 roku o 3 punkty</w:t>
      </w:r>
      <w:r w:rsidRPr="005F75F7">
        <w:rPr>
          <w:rFonts w:ascii="Arial" w:eastAsiaTheme="minorEastAsia" w:hAnsi="Arial" w:cs="Arial"/>
          <w:color w:val="000000" w:themeColor="text1"/>
          <w:sz w:val="24"/>
          <w:szCs w:val="24"/>
        </w:rPr>
        <w:t xml:space="preserve"> w stosunku do roku poprzedniego. Zespół wypracował zysk w kwocie 2,45 mln zł, poprawił wskaźniki zyskowności i zwiększył przychody ze sprzedaży o prawie 7,6 mln zł. </w:t>
      </w:r>
    </w:p>
    <w:p w14:paraId="3909DF71" w14:textId="0B263F00" w:rsidR="005F75F7" w:rsidRPr="005F75F7" w:rsidRDefault="005F75F7" w:rsidP="005F75F7">
      <w:pPr>
        <w:numPr>
          <w:ilvl w:val="0"/>
          <w:numId w:val="14"/>
        </w:numPr>
        <w:spacing w:after="120" w:line="264" w:lineRule="auto"/>
        <w:ind w:left="340"/>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Wojewódzki Ośrodek Medycyny Pracy w Rzeszowie – </w:t>
      </w:r>
      <w:r w:rsidRPr="005F75F7">
        <w:rPr>
          <w:rFonts w:ascii="Arial" w:eastAsia="Times New Roman" w:hAnsi="Arial" w:cs="Arial"/>
          <w:b/>
          <w:bCs/>
          <w:color w:val="000000" w:themeColor="text1"/>
          <w:sz w:val="24"/>
          <w:szCs w:val="24"/>
          <w:lang w:eastAsia="pl-PL"/>
        </w:rPr>
        <w:t>łączna ocena punktowa</w:t>
      </w:r>
      <w:r w:rsidRPr="005F75F7">
        <w:rPr>
          <w:rFonts w:ascii="Arial" w:eastAsia="Times New Roman" w:hAnsi="Arial" w:cs="Arial"/>
          <w:color w:val="000000" w:themeColor="text1"/>
          <w:sz w:val="24"/>
          <w:szCs w:val="24"/>
          <w:lang w:eastAsia="pl-PL"/>
        </w:rPr>
        <w:t xml:space="preserve"> </w:t>
      </w:r>
      <w:r w:rsidR="00E161A4">
        <w:rPr>
          <w:rFonts w:ascii="Arial" w:eastAsia="Times New Roman" w:hAnsi="Arial" w:cs="Arial"/>
          <w:color w:val="000000" w:themeColor="text1"/>
          <w:sz w:val="24"/>
          <w:szCs w:val="24"/>
          <w:lang w:eastAsia="pl-PL"/>
        </w:rPr>
        <w:br/>
      </w:r>
      <w:r w:rsidRPr="005F75F7">
        <w:rPr>
          <w:rFonts w:ascii="Arial" w:eastAsia="Times New Roman" w:hAnsi="Arial" w:cs="Arial"/>
          <w:b/>
          <w:bCs/>
          <w:color w:val="000000" w:themeColor="text1"/>
          <w:sz w:val="24"/>
          <w:szCs w:val="24"/>
          <w:lang w:eastAsia="pl-PL"/>
        </w:rPr>
        <w:t>za rok 2022 jest większa o 17 pkt</w:t>
      </w:r>
      <w:r w:rsidRPr="005F75F7">
        <w:rPr>
          <w:rFonts w:ascii="Arial" w:eastAsia="Times New Roman" w:hAnsi="Arial" w:cs="Arial"/>
          <w:color w:val="000000" w:themeColor="text1"/>
          <w:sz w:val="24"/>
          <w:szCs w:val="24"/>
          <w:lang w:eastAsia="pl-PL"/>
        </w:rPr>
        <w:t xml:space="preserve"> od oceny za rok 2021. Poprawie uległy wskaźniki zyskowności dzięki wypracowaniu zysku w kwocie 211 tys. zł</w:t>
      </w:r>
      <w:r w:rsidR="00E161A4">
        <w:rPr>
          <w:rFonts w:ascii="Arial" w:eastAsia="Times New Roman" w:hAnsi="Arial" w:cs="Arial"/>
          <w:color w:val="000000" w:themeColor="text1"/>
          <w:sz w:val="24"/>
          <w:szCs w:val="24"/>
          <w:lang w:eastAsia="pl-PL"/>
        </w:rPr>
        <w:br/>
      </w:r>
      <w:r w:rsidRPr="005F75F7">
        <w:rPr>
          <w:rFonts w:ascii="Arial" w:eastAsia="Times New Roman" w:hAnsi="Arial" w:cs="Arial"/>
          <w:color w:val="000000" w:themeColor="text1"/>
          <w:sz w:val="24"/>
          <w:szCs w:val="24"/>
          <w:lang w:eastAsia="pl-PL"/>
        </w:rPr>
        <w:t xml:space="preserve">oraz poprawie wskaźnika płynności oraz wypłacalności. </w:t>
      </w:r>
    </w:p>
    <w:p w14:paraId="4ACDC2C0" w14:textId="4F995AD6" w:rsidR="005F75F7" w:rsidRPr="005F75F7" w:rsidRDefault="005F75F7" w:rsidP="005F75F7">
      <w:pPr>
        <w:numPr>
          <w:ilvl w:val="0"/>
          <w:numId w:val="14"/>
        </w:numPr>
        <w:spacing w:after="120" w:line="276" w:lineRule="auto"/>
        <w:ind w:left="284" w:hanging="426"/>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Podkarpackie Centrum Medyczne w Rzeszowie SP ZOZ – </w:t>
      </w:r>
      <w:r w:rsidRPr="005F75F7">
        <w:rPr>
          <w:rFonts w:ascii="Arial" w:eastAsiaTheme="minorEastAsia" w:hAnsi="Arial" w:cs="Arial"/>
          <w:b/>
          <w:bCs/>
          <w:color w:val="000000" w:themeColor="text1"/>
          <w:sz w:val="24"/>
          <w:szCs w:val="24"/>
        </w:rPr>
        <w:t>zwiększyło</w:t>
      </w:r>
      <w:r w:rsidRPr="005F75F7">
        <w:rPr>
          <w:rFonts w:ascii="Arial" w:eastAsiaTheme="minorEastAsia" w:hAnsi="Arial" w:cs="Arial"/>
          <w:color w:val="000000" w:themeColor="text1"/>
          <w:sz w:val="24"/>
          <w:szCs w:val="24"/>
        </w:rPr>
        <w:t xml:space="preserve"> łączną Jednostka </w:t>
      </w:r>
      <w:r w:rsidRPr="005F75F7">
        <w:rPr>
          <w:rFonts w:ascii="Arial" w:eastAsiaTheme="minorEastAsia" w:hAnsi="Arial" w:cs="Arial"/>
          <w:b/>
          <w:bCs/>
          <w:color w:val="000000" w:themeColor="text1"/>
          <w:sz w:val="24"/>
          <w:szCs w:val="24"/>
        </w:rPr>
        <w:t>ocenę punktową</w:t>
      </w:r>
      <w:r w:rsidRPr="005F75F7">
        <w:rPr>
          <w:rFonts w:ascii="Arial" w:eastAsiaTheme="minorEastAsia" w:hAnsi="Arial" w:cs="Arial"/>
          <w:color w:val="000000" w:themeColor="text1"/>
          <w:sz w:val="24"/>
          <w:szCs w:val="24"/>
        </w:rPr>
        <w:t xml:space="preserve"> w 2022 roku </w:t>
      </w:r>
      <w:r w:rsidRPr="005F75F7">
        <w:rPr>
          <w:rFonts w:ascii="Arial" w:eastAsiaTheme="minorEastAsia" w:hAnsi="Arial" w:cs="Arial"/>
          <w:b/>
          <w:bCs/>
          <w:color w:val="000000" w:themeColor="text1"/>
          <w:sz w:val="24"/>
          <w:szCs w:val="24"/>
        </w:rPr>
        <w:t>o</w:t>
      </w:r>
      <w:r w:rsidR="00E161A4">
        <w:rPr>
          <w:rFonts w:ascii="Arial" w:eastAsiaTheme="minorEastAsia" w:hAnsi="Arial" w:cs="Arial"/>
          <w:b/>
          <w:bCs/>
          <w:color w:val="000000" w:themeColor="text1"/>
          <w:sz w:val="24"/>
          <w:szCs w:val="24"/>
        </w:rPr>
        <w:t xml:space="preserve"> </w:t>
      </w:r>
      <w:r w:rsidRPr="005F75F7">
        <w:rPr>
          <w:rFonts w:ascii="Arial" w:eastAsiaTheme="minorEastAsia" w:hAnsi="Arial" w:cs="Arial"/>
          <w:b/>
          <w:bCs/>
          <w:color w:val="000000" w:themeColor="text1"/>
          <w:sz w:val="24"/>
          <w:szCs w:val="24"/>
        </w:rPr>
        <w:t>17 punktów</w:t>
      </w:r>
      <w:r w:rsidRPr="005F75F7">
        <w:rPr>
          <w:rFonts w:ascii="Arial" w:eastAsiaTheme="minorEastAsia" w:hAnsi="Arial" w:cs="Arial"/>
          <w:color w:val="000000" w:themeColor="text1"/>
          <w:sz w:val="24"/>
          <w:szCs w:val="24"/>
        </w:rPr>
        <w:t xml:space="preserve"> w stosunku do roku poprzedniego. Wypracowało zysk w k</w:t>
      </w:r>
      <w:r w:rsidR="00134A1C">
        <w:rPr>
          <w:rFonts w:ascii="Arial" w:eastAsiaTheme="minorEastAsia" w:hAnsi="Arial" w:cs="Arial"/>
          <w:color w:val="000000" w:themeColor="text1"/>
          <w:sz w:val="24"/>
          <w:szCs w:val="24"/>
        </w:rPr>
        <w:t>w</w:t>
      </w:r>
      <w:r w:rsidRPr="005F75F7">
        <w:rPr>
          <w:rFonts w:ascii="Arial" w:eastAsiaTheme="minorEastAsia" w:hAnsi="Arial" w:cs="Arial"/>
          <w:color w:val="000000" w:themeColor="text1"/>
          <w:sz w:val="24"/>
          <w:szCs w:val="24"/>
        </w:rPr>
        <w:t>ocie 245,5 tys. zł. Poprawie uległy wskaźniki płynności oraz zadłużenia aktywów.</w:t>
      </w:r>
    </w:p>
    <w:p w14:paraId="52B50B47" w14:textId="493EAB11" w:rsidR="005F75F7" w:rsidRPr="005F75F7" w:rsidRDefault="005F75F7" w:rsidP="005F75F7">
      <w:pPr>
        <w:numPr>
          <w:ilvl w:val="0"/>
          <w:numId w:val="14"/>
        </w:numPr>
        <w:spacing w:after="120" w:line="276" w:lineRule="auto"/>
        <w:ind w:left="284" w:hanging="426"/>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Wojewódzka Stacja Pogotowia Ratunkowego w Rzeszowie – </w:t>
      </w:r>
      <w:r w:rsidRPr="005F75F7">
        <w:rPr>
          <w:rFonts w:ascii="Arial" w:eastAsiaTheme="minorEastAsia" w:hAnsi="Arial" w:cs="Arial"/>
          <w:b/>
          <w:bCs/>
          <w:color w:val="000000" w:themeColor="text1"/>
          <w:sz w:val="24"/>
          <w:szCs w:val="24"/>
        </w:rPr>
        <w:t xml:space="preserve">nieznacznie zmniejszyła łączną ocenę punktową w 2022 r. </w:t>
      </w:r>
      <w:r w:rsidRPr="005F75F7">
        <w:rPr>
          <w:rFonts w:ascii="Arial" w:eastAsiaTheme="minorEastAsia" w:hAnsi="Arial" w:cs="Arial"/>
          <w:color w:val="000000" w:themeColor="text1"/>
          <w:sz w:val="24"/>
          <w:szCs w:val="24"/>
        </w:rPr>
        <w:t xml:space="preserve"> w stosunku do roku poprzedniego. Spadek nastąpił o 1 pkt w przypadku zyskowności aktywów. Spadek ten spowodowany był zmniejszeniem się zysku netto o 929 tys. zł</w:t>
      </w:r>
      <w:r w:rsidR="00E161A4">
        <w:rPr>
          <w:rFonts w:ascii="Arial" w:eastAsiaTheme="minorEastAsia" w:hAnsi="Arial" w:cs="Arial"/>
          <w:color w:val="000000" w:themeColor="text1"/>
          <w:sz w:val="24"/>
          <w:szCs w:val="24"/>
        </w:rPr>
        <w:t>.</w:t>
      </w:r>
      <w:r w:rsidRPr="005F75F7">
        <w:rPr>
          <w:rFonts w:ascii="Arial" w:eastAsiaTheme="minorEastAsia" w:hAnsi="Arial" w:cs="Arial"/>
          <w:color w:val="000000" w:themeColor="text1"/>
          <w:sz w:val="24"/>
          <w:szCs w:val="24"/>
        </w:rPr>
        <w:t xml:space="preserve"> </w:t>
      </w:r>
    </w:p>
    <w:p w14:paraId="067E803B" w14:textId="1702BC2F" w:rsidR="005F75F7" w:rsidRPr="005F75F7" w:rsidRDefault="005F75F7" w:rsidP="005F75F7">
      <w:pPr>
        <w:numPr>
          <w:ilvl w:val="0"/>
          <w:numId w:val="14"/>
        </w:numPr>
        <w:spacing w:after="120" w:line="276" w:lineRule="auto"/>
        <w:ind w:left="284" w:hanging="426"/>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lastRenderedPageBreak/>
        <w:t xml:space="preserve">Wojewódzka Stacja Pogotowia Ratunkowego w Przemyślu SPZOZ – </w:t>
      </w:r>
      <w:r w:rsidRPr="005F75F7">
        <w:rPr>
          <w:rFonts w:ascii="Arial" w:eastAsiaTheme="minorEastAsia" w:hAnsi="Arial" w:cs="Arial"/>
          <w:b/>
          <w:bCs/>
          <w:color w:val="000000" w:themeColor="text1"/>
          <w:sz w:val="24"/>
          <w:szCs w:val="24"/>
        </w:rPr>
        <w:t>zwiększyła łączną ocenę punktową</w:t>
      </w:r>
      <w:r w:rsidRPr="005F75F7">
        <w:rPr>
          <w:rFonts w:ascii="Arial" w:eastAsiaTheme="minorEastAsia" w:hAnsi="Arial" w:cs="Arial"/>
          <w:color w:val="000000" w:themeColor="text1"/>
          <w:sz w:val="24"/>
          <w:szCs w:val="24"/>
        </w:rPr>
        <w:t xml:space="preserve"> w 2022 roku </w:t>
      </w:r>
      <w:r w:rsidRPr="005F75F7">
        <w:rPr>
          <w:rFonts w:ascii="Arial" w:eastAsiaTheme="minorEastAsia" w:hAnsi="Arial" w:cs="Arial"/>
          <w:b/>
          <w:bCs/>
          <w:color w:val="000000" w:themeColor="text1"/>
          <w:sz w:val="24"/>
          <w:szCs w:val="24"/>
        </w:rPr>
        <w:t>o</w:t>
      </w:r>
      <w:r w:rsidR="00E161A4">
        <w:rPr>
          <w:rFonts w:ascii="Arial" w:eastAsiaTheme="minorEastAsia" w:hAnsi="Arial" w:cs="Arial"/>
          <w:b/>
          <w:bCs/>
          <w:color w:val="000000" w:themeColor="text1"/>
          <w:sz w:val="24"/>
          <w:szCs w:val="24"/>
        </w:rPr>
        <w:t xml:space="preserve"> </w:t>
      </w:r>
      <w:r w:rsidRPr="005F75F7">
        <w:rPr>
          <w:rFonts w:ascii="Arial" w:eastAsiaTheme="minorEastAsia" w:hAnsi="Arial" w:cs="Arial"/>
          <w:b/>
          <w:bCs/>
          <w:color w:val="000000" w:themeColor="text1"/>
          <w:sz w:val="24"/>
          <w:szCs w:val="24"/>
        </w:rPr>
        <w:t>4 punkty</w:t>
      </w:r>
      <w:r w:rsidRPr="005F75F7">
        <w:rPr>
          <w:rFonts w:ascii="Arial" w:eastAsiaTheme="minorEastAsia" w:hAnsi="Arial" w:cs="Arial"/>
          <w:color w:val="000000" w:themeColor="text1"/>
          <w:sz w:val="24"/>
          <w:szCs w:val="24"/>
        </w:rPr>
        <w:t xml:space="preserve"> w stosunku do roku poprzedniego. Bezpośredni wpływ na wzrost wartości punktowej miała poprawa płynności finansowej.</w:t>
      </w:r>
    </w:p>
    <w:p w14:paraId="3E0A1E51" w14:textId="77777777" w:rsidR="005F75F7" w:rsidRPr="005F75F7" w:rsidRDefault="005F75F7" w:rsidP="005F75F7">
      <w:pPr>
        <w:numPr>
          <w:ilvl w:val="0"/>
          <w:numId w:val="14"/>
        </w:numPr>
        <w:spacing w:after="120" w:line="276" w:lineRule="auto"/>
        <w:ind w:left="284" w:hanging="426"/>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Wojewódzki Ośrodek Terapii Uzależnień w Rzeszowie – </w:t>
      </w:r>
      <w:r w:rsidRPr="005F75F7">
        <w:rPr>
          <w:rFonts w:ascii="Arial" w:eastAsia="Times New Roman" w:hAnsi="Arial" w:cs="Arial"/>
          <w:b/>
          <w:bCs/>
          <w:color w:val="000000" w:themeColor="text1"/>
          <w:sz w:val="24"/>
          <w:szCs w:val="24"/>
          <w:lang w:eastAsia="pl-PL"/>
        </w:rPr>
        <w:t>łączna ocena punktowa</w:t>
      </w:r>
      <w:r w:rsidRPr="005F75F7">
        <w:rPr>
          <w:rFonts w:ascii="Arial" w:eastAsia="Times New Roman" w:hAnsi="Arial" w:cs="Arial"/>
          <w:color w:val="000000" w:themeColor="text1"/>
          <w:sz w:val="24"/>
          <w:szCs w:val="24"/>
          <w:lang w:eastAsia="pl-PL"/>
        </w:rPr>
        <w:t xml:space="preserve"> za rok 2022 jest </w:t>
      </w:r>
      <w:r w:rsidRPr="005F75F7">
        <w:rPr>
          <w:rFonts w:ascii="Arial" w:eastAsia="Times New Roman" w:hAnsi="Arial" w:cs="Arial"/>
          <w:b/>
          <w:bCs/>
          <w:color w:val="000000" w:themeColor="text1"/>
          <w:sz w:val="24"/>
          <w:szCs w:val="24"/>
          <w:lang w:eastAsia="pl-PL"/>
        </w:rPr>
        <w:t>mniejsza o 1 pkt</w:t>
      </w:r>
      <w:r w:rsidRPr="005F75F7">
        <w:rPr>
          <w:rFonts w:ascii="Arial" w:eastAsia="Times New Roman" w:hAnsi="Arial" w:cs="Arial"/>
          <w:color w:val="000000" w:themeColor="text1"/>
          <w:sz w:val="24"/>
          <w:szCs w:val="24"/>
          <w:lang w:eastAsia="pl-PL"/>
        </w:rPr>
        <w:t xml:space="preserve"> od oceny za rok 2021 spadek ten spowodowany był zmniejszeniem się o 1 pkt. oceny za wskaźnik zyskowności. Ośrodek od kilku lat wypracowuje zysk netto (za rok 2022 wynoszący 87,9 tys. zł) i utrzymuje stabilną sytuację finansową regulując na bieżąco zobowiązania. </w:t>
      </w:r>
    </w:p>
    <w:p w14:paraId="2539DCD3" w14:textId="77777777" w:rsidR="005F75F7" w:rsidRPr="005F75F7" w:rsidRDefault="005F75F7" w:rsidP="005F75F7">
      <w:pPr>
        <w:numPr>
          <w:ilvl w:val="0"/>
          <w:numId w:val="14"/>
        </w:numPr>
        <w:spacing w:after="240" w:line="276" w:lineRule="auto"/>
        <w:ind w:left="284" w:hanging="426"/>
        <w:jc w:val="both"/>
        <w:rPr>
          <w:rFonts w:ascii="Arial" w:eastAsia="Times New Roman" w:hAnsi="Arial" w:cs="Arial"/>
          <w:color w:val="000000" w:themeColor="text1"/>
          <w:sz w:val="24"/>
          <w:szCs w:val="24"/>
          <w:lang w:eastAsia="pl-PL"/>
        </w:rPr>
      </w:pPr>
      <w:r w:rsidRPr="005F75F7">
        <w:rPr>
          <w:rFonts w:ascii="Arial" w:eastAsiaTheme="minorEastAsia" w:hAnsi="Arial" w:cs="Arial"/>
          <w:color w:val="000000" w:themeColor="text1"/>
          <w:sz w:val="24"/>
          <w:szCs w:val="24"/>
        </w:rPr>
        <w:t xml:space="preserve">Wojewódzki Ośrodek Terapii Uzależnienia od Alkoholu i Współuzależnienia w Stalowej Woli – </w:t>
      </w:r>
      <w:r w:rsidRPr="005F75F7">
        <w:rPr>
          <w:rFonts w:ascii="Arial" w:eastAsiaTheme="minorEastAsia" w:hAnsi="Arial" w:cs="Arial"/>
          <w:b/>
          <w:bCs/>
          <w:color w:val="000000" w:themeColor="text1"/>
          <w:sz w:val="24"/>
          <w:szCs w:val="24"/>
        </w:rPr>
        <w:t>zwiększył łączną ocenę punktową</w:t>
      </w:r>
      <w:r w:rsidRPr="005F75F7">
        <w:rPr>
          <w:rFonts w:ascii="Arial" w:eastAsiaTheme="minorEastAsia" w:hAnsi="Arial" w:cs="Arial"/>
          <w:color w:val="000000" w:themeColor="text1"/>
          <w:sz w:val="24"/>
          <w:szCs w:val="24"/>
        </w:rPr>
        <w:t xml:space="preserve"> w 2022 roku </w:t>
      </w:r>
      <w:r w:rsidRPr="005F75F7">
        <w:rPr>
          <w:rFonts w:ascii="Arial" w:eastAsiaTheme="minorEastAsia" w:hAnsi="Arial" w:cs="Arial"/>
          <w:b/>
          <w:bCs/>
          <w:color w:val="000000" w:themeColor="text1"/>
          <w:sz w:val="24"/>
          <w:szCs w:val="24"/>
        </w:rPr>
        <w:t>o 5 punktów</w:t>
      </w:r>
      <w:r w:rsidRPr="005F75F7">
        <w:rPr>
          <w:rFonts w:ascii="Arial" w:eastAsiaTheme="minorEastAsia" w:hAnsi="Arial" w:cs="Arial"/>
          <w:color w:val="000000" w:themeColor="text1"/>
          <w:sz w:val="24"/>
          <w:szCs w:val="24"/>
        </w:rPr>
        <w:t xml:space="preserve"> w stosunku do roku poprzedniego. Jednostka ta wypracowała zysk netto (221,9 tys. zł) i zwiększyła przychody ze sprzedaży o prawie 1,89 mln zł – poprawiła tym samym wskaźniki zyskowności. Na bieżąco reguluje swoje zobowiązania utrzymując lat stabilną sytuację finansową. </w:t>
      </w:r>
    </w:p>
    <w:p w14:paraId="37D9447F" w14:textId="3C1156C3" w:rsidR="005F75F7" w:rsidRPr="005F75F7" w:rsidRDefault="005F75F7" w:rsidP="005F75F7">
      <w:pPr>
        <w:spacing w:after="0" w:line="276" w:lineRule="auto"/>
        <w:ind w:firstLine="708"/>
        <w:jc w:val="both"/>
        <w:rPr>
          <w:rFonts w:ascii="Arial" w:eastAsiaTheme="minorEastAsia" w:hAnsi="Arial" w:cs="Arial"/>
          <w:sz w:val="24"/>
          <w:szCs w:val="24"/>
        </w:rPr>
      </w:pPr>
      <w:r w:rsidRPr="005F75F7">
        <w:rPr>
          <w:rFonts w:ascii="Arial" w:eastAsiaTheme="minorEastAsia" w:hAnsi="Arial" w:cs="Arial"/>
          <w:sz w:val="24"/>
          <w:szCs w:val="24"/>
        </w:rPr>
        <w:t>Jednostki inwestują w swój rozwój, prowadząc inwestycje odtworzeniowe w zakresie infrastruktury i wymiany sprzętu i aparatury medycznej i korzystając w tym zakresie</w:t>
      </w:r>
      <w:r w:rsidR="00E161A4">
        <w:rPr>
          <w:rFonts w:ascii="Arial" w:eastAsiaTheme="minorEastAsia" w:hAnsi="Arial" w:cs="Arial"/>
          <w:sz w:val="24"/>
          <w:szCs w:val="24"/>
        </w:rPr>
        <w:t>,</w:t>
      </w:r>
      <w:r w:rsidRPr="005F75F7">
        <w:rPr>
          <w:rFonts w:ascii="Arial" w:eastAsiaTheme="minorEastAsia" w:hAnsi="Arial" w:cs="Arial"/>
          <w:sz w:val="24"/>
          <w:szCs w:val="24"/>
        </w:rPr>
        <w:t xml:space="preserve"> zarówno ze środków finansowych budżetu województwa podkarpackiego</w:t>
      </w:r>
      <w:r w:rsidR="00E161A4">
        <w:rPr>
          <w:rFonts w:ascii="Arial" w:eastAsiaTheme="minorEastAsia" w:hAnsi="Arial" w:cs="Arial"/>
          <w:sz w:val="24"/>
          <w:szCs w:val="24"/>
        </w:rPr>
        <w:t>,</w:t>
      </w:r>
      <w:r w:rsidRPr="005F75F7">
        <w:rPr>
          <w:rFonts w:ascii="Arial" w:eastAsiaTheme="minorEastAsia" w:hAnsi="Arial" w:cs="Arial"/>
          <w:sz w:val="24"/>
          <w:szCs w:val="24"/>
        </w:rPr>
        <w:t xml:space="preserve"> jak i innych źródeł finansowania. W 2022 r. na realizowane przez podmioty lecznicze zadania inwestycyjne wydatkowano łącznie 123,5 mln zł, z czego 69 mln zł to środki budżetu województwa. Szacunkowa wartość zadań to 343,3 mln zł.</w:t>
      </w:r>
    </w:p>
    <w:p w14:paraId="25259EAB" w14:textId="77777777" w:rsidR="005F75F7" w:rsidRPr="005F75F7" w:rsidRDefault="005F75F7" w:rsidP="005F75F7">
      <w:pPr>
        <w:spacing w:after="0" w:line="276" w:lineRule="auto"/>
        <w:ind w:firstLine="708"/>
        <w:jc w:val="both"/>
        <w:rPr>
          <w:rFonts w:ascii="Arial" w:eastAsiaTheme="minorEastAsia" w:hAnsi="Arial" w:cs="Arial"/>
          <w:color w:val="000000" w:themeColor="text1"/>
          <w:sz w:val="24"/>
          <w:szCs w:val="24"/>
        </w:rPr>
      </w:pPr>
      <w:r w:rsidRPr="005F75F7">
        <w:rPr>
          <w:rFonts w:ascii="Arial" w:eastAsiaTheme="minorEastAsia" w:hAnsi="Arial" w:cs="Arial"/>
          <w:color w:val="000000" w:themeColor="text1"/>
          <w:sz w:val="24"/>
          <w:szCs w:val="24"/>
        </w:rPr>
        <w:t xml:space="preserve">Większość wojewódzkich podmiotów leczniczych jest w stabilnej sytuacji finansowej pozwalającej na kontynuowanie działalności co najmniej w niezmienionym zakresie. </w:t>
      </w:r>
    </w:p>
    <w:p w14:paraId="2F44DA7E" w14:textId="77777777" w:rsidR="005F75F7" w:rsidRPr="005F75F7" w:rsidRDefault="005F75F7" w:rsidP="005F75F7">
      <w:pPr>
        <w:autoSpaceDE w:val="0"/>
        <w:autoSpaceDN w:val="0"/>
        <w:adjustRightInd w:val="0"/>
        <w:spacing w:after="0" w:line="276" w:lineRule="auto"/>
        <w:ind w:firstLine="708"/>
        <w:jc w:val="both"/>
        <w:rPr>
          <w:rFonts w:ascii="Arial" w:eastAsiaTheme="minorEastAsia" w:hAnsi="Arial" w:cs="Arial"/>
          <w:color w:val="000000" w:themeColor="text1"/>
          <w:sz w:val="24"/>
          <w:szCs w:val="24"/>
          <w:highlight w:val="yellow"/>
        </w:rPr>
      </w:pPr>
      <w:r w:rsidRPr="005F75F7">
        <w:rPr>
          <w:rFonts w:ascii="Arial" w:eastAsiaTheme="minorEastAsia" w:hAnsi="Arial" w:cs="Arial"/>
          <w:color w:val="000000" w:themeColor="text1"/>
          <w:sz w:val="24"/>
          <w:szCs w:val="24"/>
        </w:rPr>
        <w:t>Maksymalna ocena punktowa wskaźników ekonomiczno-finansowych wynikająca z rozporządzenia Ministra Zdrowia z dnia 12 kwietnia 2017 r. wynosi 70 punktów. Ocena punktowa za 2022 rok uzyskana przez wojewódzkie podmioty lecznicze kształtuje się na poziomie od 11 do 68 punktów (ocena wszystkich jednostek została przedstawiona w tabeli 11).</w:t>
      </w:r>
    </w:p>
    <w:p w14:paraId="7F7EDB7A" w14:textId="3693FE56" w:rsidR="005F75F7" w:rsidRPr="005F75F7" w:rsidRDefault="005F75F7" w:rsidP="005F75F7">
      <w:pPr>
        <w:spacing w:after="0" w:line="276" w:lineRule="auto"/>
        <w:ind w:firstLine="708"/>
        <w:jc w:val="both"/>
        <w:rPr>
          <w:rFonts w:ascii="Arial" w:eastAsiaTheme="minorEastAsia" w:hAnsi="Arial" w:cs="Arial"/>
          <w:sz w:val="24"/>
          <w:szCs w:val="24"/>
        </w:rPr>
      </w:pPr>
      <w:r w:rsidRPr="005F75F7">
        <w:rPr>
          <w:rFonts w:ascii="Arial" w:eastAsia="Times New Roman" w:hAnsi="Arial" w:cs="Arial"/>
          <w:color w:val="000000" w:themeColor="text1"/>
          <w:sz w:val="24"/>
          <w:szCs w:val="24"/>
          <w:lang w:eastAsia="pl-PL"/>
        </w:rPr>
        <w:t>Najwyższy wynik osiągnął Wojewódzki Zespół Specjalistyczny w Rzeszowie – 68 pkt. Natomiast najmniejszą liczbą punktów uzyskał Wojewódzki Szpital im. Zofii z Zamoyskich Tarnowskiej w Tarnobrzegu</w:t>
      </w:r>
      <w:r w:rsidR="00E161A4">
        <w:rPr>
          <w:rFonts w:ascii="Arial" w:eastAsia="Times New Roman" w:hAnsi="Arial" w:cs="Arial"/>
          <w:color w:val="000000" w:themeColor="text1"/>
          <w:sz w:val="24"/>
          <w:szCs w:val="24"/>
          <w:lang w:eastAsia="pl-PL"/>
        </w:rPr>
        <w:t xml:space="preserve"> </w:t>
      </w:r>
      <w:r w:rsidR="00E161A4" w:rsidRPr="005F75F7">
        <w:rPr>
          <w:rFonts w:ascii="Arial" w:eastAsia="Times New Roman" w:hAnsi="Arial" w:cs="Arial"/>
          <w:color w:val="000000" w:themeColor="text1"/>
          <w:sz w:val="24"/>
          <w:szCs w:val="24"/>
          <w:lang w:eastAsia="pl-PL"/>
        </w:rPr>
        <w:t xml:space="preserve">– </w:t>
      </w:r>
      <w:r w:rsidRPr="005F75F7">
        <w:rPr>
          <w:rFonts w:ascii="Arial" w:eastAsia="Times New Roman" w:hAnsi="Arial" w:cs="Arial"/>
          <w:color w:val="000000" w:themeColor="text1"/>
          <w:sz w:val="24"/>
          <w:szCs w:val="24"/>
          <w:lang w:eastAsia="pl-PL"/>
        </w:rPr>
        <w:t>11 pkt.</w:t>
      </w:r>
    </w:p>
    <w:p w14:paraId="40B6D101" w14:textId="77777777" w:rsidR="005F75F7" w:rsidRPr="005F75F7" w:rsidRDefault="005F75F7" w:rsidP="005F75F7">
      <w:pPr>
        <w:spacing w:after="0" w:line="276" w:lineRule="auto"/>
        <w:ind w:firstLine="708"/>
        <w:jc w:val="both"/>
        <w:rPr>
          <w:rFonts w:ascii="Arial" w:eastAsiaTheme="minorEastAsia" w:hAnsi="Arial" w:cs="Arial"/>
          <w:sz w:val="24"/>
          <w:szCs w:val="24"/>
        </w:rPr>
        <w:sectPr w:rsidR="005F75F7" w:rsidRPr="005F75F7" w:rsidSect="00D902FC">
          <w:pgSz w:w="11906" w:h="16838"/>
          <w:pgMar w:top="993" w:right="1417" w:bottom="1417" w:left="1417" w:header="708" w:footer="708" w:gutter="0"/>
          <w:cols w:space="708"/>
          <w:docGrid w:linePitch="360"/>
        </w:sectPr>
      </w:pPr>
    </w:p>
    <w:p w14:paraId="407CEC9A" w14:textId="536C844C" w:rsidR="005F75F7" w:rsidRPr="005F75F7" w:rsidRDefault="005F75F7" w:rsidP="005F75F7">
      <w:pPr>
        <w:keepNext/>
        <w:spacing w:after="120" w:line="240" w:lineRule="auto"/>
        <w:rPr>
          <w:rFonts w:ascii="Arial" w:eastAsiaTheme="minorEastAsia" w:hAnsi="Arial" w:cs="Arial"/>
          <w:i/>
          <w:iCs/>
          <w:sz w:val="20"/>
          <w:szCs w:val="20"/>
        </w:rPr>
      </w:pPr>
      <w:r w:rsidRPr="005F75F7">
        <w:rPr>
          <w:rFonts w:ascii="Arial" w:eastAsiaTheme="minorEastAsia" w:hAnsi="Arial" w:cs="Arial"/>
          <w:sz w:val="20"/>
          <w:szCs w:val="20"/>
        </w:rPr>
        <w:lastRenderedPageBreak/>
        <w:t xml:space="preserve">Tabela </w:t>
      </w:r>
      <w:r w:rsidRPr="005F75F7">
        <w:rPr>
          <w:rFonts w:ascii="Arial" w:eastAsiaTheme="minorEastAsia" w:hAnsi="Arial" w:cs="Arial"/>
          <w:i/>
          <w:iCs/>
          <w:sz w:val="20"/>
          <w:szCs w:val="20"/>
        </w:rPr>
        <w:fldChar w:fldCharType="begin"/>
      </w:r>
      <w:r w:rsidRPr="005F75F7">
        <w:rPr>
          <w:rFonts w:ascii="Arial" w:eastAsiaTheme="minorEastAsia" w:hAnsi="Arial" w:cs="Arial"/>
          <w:sz w:val="20"/>
          <w:szCs w:val="20"/>
        </w:rPr>
        <w:instrText xml:space="preserve"> SEQ Tabela \* ARABIC </w:instrText>
      </w:r>
      <w:r w:rsidRPr="005F75F7">
        <w:rPr>
          <w:rFonts w:ascii="Arial" w:eastAsiaTheme="minorEastAsia" w:hAnsi="Arial" w:cs="Arial"/>
          <w:i/>
          <w:iCs/>
          <w:sz w:val="20"/>
          <w:szCs w:val="20"/>
        </w:rPr>
        <w:fldChar w:fldCharType="separate"/>
      </w:r>
      <w:r w:rsidR="00FA0C2D">
        <w:rPr>
          <w:rFonts w:ascii="Arial" w:eastAsiaTheme="minorEastAsia" w:hAnsi="Arial" w:cs="Arial"/>
          <w:noProof/>
          <w:sz w:val="20"/>
          <w:szCs w:val="20"/>
        </w:rPr>
        <w:t>11</w:t>
      </w:r>
      <w:r w:rsidRPr="005F75F7">
        <w:rPr>
          <w:rFonts w:ascii="Arial" w:eastAsiaTheme="minorEastAsia" w:hAnsi="Arial" w:cs="Arial"/>
          <w:i/>
          <w:iCs/>
          <w:sz w:val="20"/>
          <w:szCs w:val="20"/>
        </w:rPr>
        <w:fldChar w:fldCharType="end"/>
      </w:r>
      <w:r w:rsidRPr="005F75F7">
        <w:rPr>
          <w:rFonts w:ascii="Arial" w:eastAsiaTheme="minorEastAsia" w:hAnsi="Arial" w:cs="Arial"/>
          <w:sz w:val="20"/>
          <w:szCs w:val="20"/>
        </w:rPr>
        <w:t>. Ocena sytuacji ekonomiczno-finansowej samodzielnych publicznych zakładów opieki zdrowotnej za 2022 rok</w:t>
      </w:r>
      <w:r w:rsidR="0038635A">
        <w:rPr>
          <w:rFonts w:ascii="Arial" w:eastAsiaTheme="minorEastAsia" w:hAnsi="Arial" w:cs="Arial"/>
          <w:sz w:val="20"/>
          <w:szCs w:val="20"/>
        </w:rPr>
        <w:t>.</w:t>
      </w:r>
    </w:p>
    <w:tbl>
      <w:tblPr>
        <w:tblW w:w="16159" w:type="dxa"/>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Tabela 11. Ocena sytuacji ekonomiczno-finansowej samodzielnych publicznych zakładów opieki zdrowotnej za 2021 rok"/>
        <w:tblDescription w:val="Tabela zawiera: grupę wskaźników, wskaźniki zyskowności, wskaźniki płynności, wskaźniki efektywności, wskaźniki zadłużenia, łączną ocenę punktową za 2022 rok."/>
      </w:tblPr>
      <w:tblGrid>
        <w:gridCol w:w="426"/>
        <w:gridCol w:w="2133"/>
        <w:gridCol w:w="714"/>
        <w:gridCol w:w="549"/>
        <w:gridCol w:w="947"/>
        <w:gridCol w:w="533"/>
        <w:gridCol w:w="920"/>
        <w:gridCol w:w="581"/>
        <w:gridCol w:w="803"/>
        <w:gridCol w:w="563"/>
        <w:gridCol w:w="766"/>
        <w:gridCol w:w="561"/>
        <w:gridCol w:w="852"/>
        <w:gridCol w:w="566"/>
        <w:gridCol w:w="908"/>
        <w:gridCol w:w="651"/>
        <w:gridCol w:w="828"/>
        <w:gridCol w:w="560"/>
        <w:gridCol w:w="1044"/>
        <w:gridCol w:w="545"/>
        <w:gridCol w:w="709"/>
      </w:tblGrid>
      <w:tr w:rsidR="005F75F7" w:rsidRPr="005F75F7" w14:paraId="417C5766" w14:textId="77777777" w:rsidTr="00D902FC">
        <w:trPr>
          <w:trHeight w:val="20"/>
        </w:trPr>
        <w:tc>
          <w:tcPr>
            <w:tcW w:w="2559" w:type="dxa"/>
            <w:gridSpan w:val="2"/>
            <w:shd w:val="clear" w:color="auto" w:fill="D9D9D9" w:themeFill="background1" w:themeFillShade="D9"/>
            <w:vAlign w:val="bottom"/>
            <w:hideMark/>
          </w:tcPr>
          <w:p w14:paraId="138DB69A"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b/>
                <w:bCs/>
                <w:color w:val="000000"/>
                <w:sz w:val="16"/>
                <w:szCs w:val="16"/>
                <w:lang w:eastAsia="pl-PL"/>
              </w:rPr>
              <w:t>Grupa wskaźników</w:t>
            </w:r>
          </w:p>
        </w:tc>
        <w:tc>
          <w:tcPr>
            <w:tcW w:w="4244" w:type="dxa"/>
            <w:gridSpan w:val="6"/>
            <w:shd w:val="clear" w:color="000000" w:fill="D9D9D9"/>
            <w:vAlign w:val="bottom"/>
            <w:hideMark/>
          </w:tcPr>
          <w:p w14:paraId="3EA2DF94"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b/>
                <w:bCs/>
                <w:color w:val="000000"/>
                <w:sz w:val="16"/>
                <w:szCs w:val="16"/>
                <w:lang w:eastAsia="pl-PL"/>
              </w:rPr>
              <w:t>Wskaźniki zyskowności</w:t>
            </w:r>
          </w:p>
        </w:tc>
        <w:tc>
          <w:tcPr>
            <w:tcW w:w="2693" w:type="dxa"/>
            <w:gridSpan w:val="4"/>
            <w:shd w:val="clear" w:color="000000" w:fill="D9D9D9"/>
            <w:vAlign w:val="bottom"/>
            <w:hideMark/>
          </w:tcPr>
          <w:p w14:paraId="0967FBFF"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b/>
                <w:bCs/>
                <w:color w:val="000000"/>
                <w:sz w:val="16"/>
                <w:szCs w:val="16"/>
                <w:lang w:eastAsia="pl-PL"/>
              </w:rPr>
              <w:t>Wskaźniki płynności</w:t>
            </w:r>
          </w:p>
        </w:tc>
        <w:tc>
          <w:tcPr>
            <w:tcW w:w="2977" w:type="dxa"/>
            <w:gridSpan w:val="4"/>
            <w:shd w:val="clear" w:color="000000" w:fill="D9D9D9"/>
            <w:vAlign w:val="bottom"/>
            <w:hideMark/>
          </w:tcPr>
          <w:p w14:paraId="753B2732"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b/>
                <w:bCs/>
                <w:color w:val="000000"/>
                <w:sz w:val="16"/>
                <w:szCs w:val="16"/>
                <w:lang w:eastAsia="pl-PL"/>
              </w:rPr>
              <w:t>Wskaźniki efektywności</w:t>
            </w:r>
          </w:p>
        </w:tc>
        <w:tc>
          <w:tcPr>
            <w:tcW w:w="2977" w:type="dxa"/>
            <w:gridSpan w:val="4"/>
            <w:shd w:val="clear" w:color="000000" w:fill="D9D9D9"/>
            <w:vAlign w:val="bottom"/>
            <w:hideMark/>
          </w:tcPr>
          <w:p w14:paraId="795BA6E4"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b/>
                <w:bCs/>
                <w:color w:val="000000"/>
                <w:sz w:val="16"/>
                <w:szCs w:val="16"/>
                <w:lang w:eastAsia="pl-PL"/>
              </w:rPr>
              <w:t>Wskaźniki zadłużenia</w:t>
            </w:r>
          </w:p>
        </w:tc>
        <w:tc>
          <w:tcPr>
            <w:tcW w:w="709" w:type="dxa"/>
            <w:vMerge w:val="restart"/>
            <w:shd w:val="clear" w:color="auto" w:fill="D9D9D9" w:themeFill="background1" w:themeFillShade="D9"/>
            <w:vAlign w:val="center"/>
            <w:hideMark/>
          </w:tcPr>
          <w:p w14:paraId="4C1E713D"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b/>
                <w:bCs/>
                <w:color w:val="000000"/>
                <w:sz w:val="16"/>
                <w:szCs w:val="16"/>
                <w:lang w:eastAsia="pl-PL"/>
              </w:rPr>
              <w:t> </w:t>
            </w:r>
          </w:p>
          <w:p w14:paraId="46EB071A" w14:textId="77777777" w:rsidR="005F75F7" w:rsidRPr="005F75F7" w:rsidRDefault="005F75F7" w:rsidP="005F75F7">
            <w:pPr>
              <w:spacing w:after="0" w:line="240" w:lineRule="auto"/>
              <w:jc w:val="center"/>
              <w:rPr>
                <w:rFonts w:eastAsia="Times New Roman" w:cstheme="minorHAnsi"/>
                <w:b/>
                <w:bCs/>
                <w:color w:val="000000"/>
                <w:sz w:val="16"/>
                <w:szCs w:val="16"/>
                <w:lang w:eastAsia="pl-PL"/>
              </w:rPr>
            </w:pPr>
            <w:r w:rsidRPr="005F75F7">
              <w:rPr>
                <w:rFonts w:eastAsia="Times New Roman" w:cstheme="minorHAnsi"/>
                <w:color w:val="000000"/>
                <w:sz w:val="16"/>
                <w:szCs w:val="16"/>
                <w:lang w:eastAsia="pl-PL"/>
              </w:rPr>
              <w:t>Łączna ocena pkt za 2022</w:t>
            </w:r>
          </w:p>
        </w:tc>
      </w:tr>
      <w:tr w:rsidR="005F75F7" w:rsidRPr="005F75F7" w14:paraId="7948A515" w14:textId="77777777" w:rsidTr="00D902FC">
        <w:trPr>
          <w:trHeight w:val="20"/>
        </w:trPr>
        <w:tc>
          <w:tcPr>
            <w:tcW w:w="426" w:type="dxa"/>
            <w:shd w:val="clear" w:color="auto" w:fill="auto"/>
            <w:vAlign w:val="center"/>
            <w:hideMark/>
          </w:tcPr>
          <w:p w14:paraId="5A31AD8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Lp.</w:t>
            </w:r>
          </w:p>
        </w:tc>
        <w:tc>
          <w:tcPr>
            <w:tcW w:w="2133" w:type="dxa"/>
            <w:shd w:val="clear" w:color="auto" w:fill="auto"/>
            <w:vAlign w:val="center"/>
            <w:hideMark/>
          </w:tcPr>
          <w:p w14:paraId="3EDC280F"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imes New Roman" w:cstheme="minorHAnsi"/>
                <w:color w:val="000000"/>
                <w:sz w:val="16"/>
                <w:szCs w:val="16"/>
                <w:lang w:eastAsia="pl-PL"/>
              </w:rPr>
              <w:t>Nazwa jednostki</w:t>
            </w:r>
          </w:p>
        </w:tc>
        <w:tc>
          <w:tcPr>
            <w:tcW w:w="714" w:type="dxa"/>
            <w:shd w:val="clear" w:color="auto" w:fill="auto"/>
            <w:vAlign w:val="center"/>
            <w:hideMark/>
          </w:tcPr>
          <w:p w14:paraId="1EF98A8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zyskowności netto %</w:t>
            </w:r>
          </w:p>
        </w:tc>
        <w:tc>
          <w:tcPr>
            <w:tcW w:w="549" w:type="dxa"/>
            <w:shd w:val="clear" w:color="auto" w:fill="auto"/>
            <w:vAlign w:val="center"/>
            <w:hideMark/>
          </w:tcPr>
          <w:p w14:paraId="66438CD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947" w:type="dxa"/>
            <w:shd w:val="clear" w:color="auto" w:fill="auto"/>
            <w:vAlign w:val="center"/>
            <w:hideMark/>
          </w:tcPr>
          <w:p w14:paraId="4880133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zyskowności działalności operacyjnej %</w:t>
            </w:r>
          </w:p>
        </w:tc>
        <w:tc>
          <w:tcPr>
            <w:tcW w:w="533" w:type="dxa"/>
            <w:shd w:val="clear" w:color="auto" w:fill="auto"/>
            <w:vAlign w:val="center"/>
            <w:hideMark/>
          </w:tcPr>
          <w:p w14:paraId="746DF46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920" w:type="dxa"/>
            <w:shd w:val="clear" w:color="auto" w:fill="auto"/>
            <w:vAlign w:val="center"/>
            <w:hideMark/>
          </w:tcPr>
          <w:p w14:paraId="394601F0" w14:textId="77777777" w:rsidR="005F75F7" w:rsidRPr="005F75F7" w:rsidRDefault="005F75F7" w:rsidP="005F75F7">
            <w:pPr>
              <w:spacing w:after="0" w:line="240" w:lineRule="auto"/>
              <w:ind w:left="-57"/>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zyskowność aktywów %</w:t>
            </w:r>
          </w:p>
        </w:tc>
        <w:tc>
          <w:tcPr>
            <w:tcW w:w="581" w:type="dxa"/>
            <w:shd w:val="clear" w:color="auto" w:fill="auto"/>
            <w:vAlign w:val="center"/>
            <w:hideMark/>
          </w:tcPr>
          <w:p w14:paraId="4DC52B0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803" w:type="dxa"/>
            <w:shd w:val="clear" w:color="auto" w:fill="auto"/>
            <w:vAlign w:val="center"/>
            <w:hideMark/>
          </w:tcPr>
          <w:p w14:paraId="2010996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płynności bieżącej</w:t>
            </w:r>
          </w:p>
        </w:tc>
        <w:tc>
          <w:tcPr>
            <w:tcW w:w="563" w:type="dxa"/>
            <w:shd w:val="clear" w:color="auto" w:fill="auto"/>
            <w:vAlign w:val="center"/>
            <w:hideMark/>
          </w:tcPr>
          <w:p w14:paraId="37D94FB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766" w:type="dxa"/>
            <w:shd w:val="clear" w:color="auto" w:fill="auto"/>
            <w:vAlign w:val="center"/>
            <w:hideMark/>
          </w:tcPr>
          <w:p w14:paraId="26D511A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płynności szybkiej</w:t>
            </w:r>
          </w:p>
        </w:tc>
        <w:tc>
          <w:tcPr>
            <w:tcW w:w="561" w:type="dxa"/>
            <w:shd w:val="clear" w:color="auto" w:fill="auto"/>
            <w:vAlign w:val="center"/>
            <w:hideMark/>
          </w:tcPr>
          <w:p w14:paraId="57120CA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852" w:type="dxa"/>
            <w:shd w:val="clear" w:color="auto" w:fill="auto"/>
            <w:vAlign w:val="center"/>
            <w:hideMark/>
          </w:tcPr>
          <w:p w14:paraId="6A7C413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rotacji należności (w dniach)</w:t>
            </w:r>
          </w:p>
        </w:tc>
        <w:tc>
          <w:tcPr>
            <w:tcW w:w="566" w:type="dxa"/>
            <w:shd w:val="clear" w:color="auto" w:fill="auto"/>
            <w:vAlign w:val="center"/>
            <w:hideMark/>
          </w:tcPr>
          <w:p w14:paraId="3BDF30C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908" w:type="dxa"/>
            <w:shd w:val="clear" w:color="auto" w:fill="auto"/>
            <w:vAlign w:val="center"/>
            <w:hideMark/>
          </w:tcPr>
          <w:p w14:paraId="7C5E180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rotacji zobowiązań (w dniach)</w:t>
            </w:r>
          </w:p>
        </w:tc>
        <w:tc>
          <w:tcPr>
            <w:tcW w:w="651" w:type="dxa"/>
            <w:shd w:val="clear" w:color="auto" w:fill="auto"/>
            <w:vAlign w:val="center"/>
            <w:hideMark/>
          </w:tcPr>
          <w:p w14:paraId="40CDB6E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828" w:type="dxa"/>
            <w:shd w:val="clear" w:color="auto" w:fill="auto"/>
            <w:vAlign w:val="center"/>
            <w:hideMark/>
          </w:tcPr>
          <w:p w14:paraId="2EEF032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zadłużenia aktywów %</w:t>
            </w:r>
          </w:p>
        </w:tc>
        <w:tc>
          <w:tcPr>
            <w:tcW w:w="560" w:type="dxa"/>
            <w:shd w:val="clear" w:color="auto" w:fill="auto"/>
            <w:vAlign w:val="center"/>
            <w:hideMark/>
          </w:tcPr>
          <w:p w14:paraId="2258C85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1044" w:type="dxa"/>
            <w:shd w:val="clear" w:color="auto" w:fill="auto"/>
            <w:vAlign w:val="center"/>
            <w:hideMark/>
          </w:tcPr>
          <w:p w14:paraId="430A449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wypłacalności</w:t>
            </w:r>
          </w:p>
        </w:tc>
        <w:tc>
          <w:tcPr>
            <w:tcW w:w="545" w:type="dxa"/>
            <w:shd w:val="clear" w:color="auto" w:fill="auto"/>
            <w:vAlign w:val="center"/>
            <w:hideMark/>
          </w:tcPr>
          <w:p w14:paraId="7BF5206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imes New Roman" w:cstheme="minorHAnsi"/>
                <w:color w:val="000000"/>
                <w:sz w:val="16"/>
                <w:szCs w:val="16"/>
                <w:lang w:eastAsia="pl-PL"/>
              </w:rPr>
              <w:t>ocena pkt</w:t>
            </w:r>
          </w:p>
        </w:tc>
        <w:tc>
          <w:tcPr>
            <w:tcW w:w="709" w:type="dxa"/>
            <w:vMerge/>
            <w:shd w:val="clear" w:color="auto" w:fill="auto"/>
            <w:vAlign w:val="center"/>
            <w:hideMark/>
          </w:tcPr>
          <w:p w14:paraId="05E9E6D1" w14:textId="77777777" w:rsidR="005F75F7" w:rsidRPr="005F75F7" w:rsidRDefault="005F75F7" w:rsidP="005F75F7">
            <w:pPr>
              <w:spacing w:after="0" w:line="240" w:lineRule="auto"/>
              <w:jc w:val="center"/>
              <w:rPr>
                <w:rFonts w:eastAsia="Times New Roman" w:cstheme="minorHAnsi"/>
                <w:color w:val="000000"/>
                <w:sz w:val="16"/>
                <w:szCs w:val="16"/>
                <w:lang w:eastAsia="pl-PL"/>
              </w:rPr>
            </w:pPr>
          </w:p>
        </w:tc>
      </w:tr>
      <w:tr w:rsidR="005F75F7" w:rsidRPr="005F75F7" w14:paraId="79386A6E"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tcPr>
          <w:p w14:paraId="72F20991"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9</w:t>
            </w:r>
          </w:p>
        </w:tc>
        <w:tc>
          <w:tcPr>
            <w:tcW w:w="2133" w:type="dxa"/>
            <w:tcBorders>
              <w:top w:val="single" w:sz="2" w:space="0" w:color="auto"/>
              <w:left w:val="single" w:sz="2" w:space="0" w:color="auto"/>
              <w:bottom w:val="single" w:sz="2" w:space="0" w:color="auto"/>
              <w:right w:val="single" w:sz="2" w:space="0" w:color="auto"/>
            </w:tcBorders>
            <w:shd w:val="clear" w:color="auto" w:fill="auto"/>
            <w:hideMark/>
          </w:tcPr>
          <w:p w14:paraId="4A65F217"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Zespół Specjalistyczny w Rzeszowie</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4405444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6,22%</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1919558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7BF2C79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6,10%</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2BDF40B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2EC1D4E4" w14:textId="77777777" w:rsidR="005F75F7" w:rsidRPr="005F75F7" w:rsidRDefault="005F75F7" w:rsidP="005F75F7">
            <w:pPr>
              <w:spacing w:after="0" w:line="240" w:lineRule="auto"/>
              <w:ind w:left="-57"/>
              <w:jc w:val="center"/>
              <w:rPr>
                <w:rFonts w:eastAsia="Times New Roman" w:cstheme="minorHAnsi"/>
                <w:color w:val="000000"/>
                <w:sz w:val="16"/>
                <w:szCs w:val="16"/>
                <w:lang w:eastAsia="pl-PL"/>
              </w:rPr>
            </w:pPr>
            <w:r w:rsidRPr="005F75F7">
              <w:rPr>
                <w:rFonts w:eastAsiaTheme="minorEastAsia"/>
                <w:sz w:val="16"/>
                <w:szCs w:val="16"/>
              </w:rPr>
              <w:t>10,83%</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5D10FBB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6F95102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2,08</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449A0B0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64A6CBD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2,01</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6DE7A47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6A9D587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39,57</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3158F64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3CEDAC9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17,4</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05039ED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76F13A2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22,09%</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1F4FDB4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559C242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0,53</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62240BE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E9F3B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68</w:t>
            </w:r>
          </w:p>
        </w:tc>
      </w:tr>
      <w:tr w:rsidR="005F75F7" w:rsidRPr="005F75F7" w14:paraId="68714EBC" w14:textId="77777777" w:rsidTr="00D902FC">
        <w:trPr>
          <w:trHeight w:val="20"/>
        </w:trPr>
        <w:tc>
          <w:tcPr>
            <w:tcW w:w="426" w:type="dxa"/>
            <w:shd w:val="clear" w:color="auto" w:fill="auto"/>
          </w:tcPr>
          <w:p w14:paraId="0457F6D3"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12</w:t>
            </w:r>
          </w:p>
        </w:tc>
        <w:tc>
          <w:tcPr>
            <w:tcW w:w="2133" w:type="dxa"/>
            <w:shd w:val="clear" w:color="auto" w:fill="auto"/>
            <w:hideMark/>
          </w:tcPr>
          <w:p w14:paraId="3DA4AFAE"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Ośrodek Terapii Uzależnienia od Alkoholu i Współuzależnienia w Stalowej Woli</w:t>
            </w:r>
          </w:p>
        </w:tc>
        <w:tc>
          <w:tcPr>
            <w:tcW w:w="714" w:type="dxa"/>
            <w:shd w:val="clear" w:color="auto" w:fill="auto"/>
            <w:vAlign w:val="center"/>
          </w:tcPr>
          <w:p w14:paraId="71F4746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4,05%</w:t>
            </w:r>
          </w:p>
        </w:tc>
        <w:tc>
          <w:tcPr>
            <w:tcW w:w="549" w:type="dxa"/>
            <w:shd w:val="clear" w:color="auto" w:fill="auto"/>
            <w:vAlign w:val="center"/>
          </w:tcPr>
          <w:p w14:paraId="4A23B87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947" w:type="dxa"/>
            <w:shd w:val="clear" w:color="auto" w:fill="auto"/>
            <w:vAlign w:val="center"/>
          </w:tcPr>
          <w:p w14:paraId="5767931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3,76%</w:t>
            </w:r>
          </w:p>
        </w:tc>
        <w:tc>
          <w:tcPr>
            <w:tcW w:w="533" w:type="dxa"/>
            <w:shd w:val="clear" w:color="auto" w:fill="auto"/>
            <w:vAlign w:val="center"/>
          </w:tcPr>
          <w:p w14:paraId="3B83344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20" w:type="dxa"/>
            <w:shd w:val="clear" w:color="auto" w:fill="auto"/>
            <w:vAlign w:val="center"/>
          </w:tcPr>
          <w:p w14:paraId="337A180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4,60%</w:t>
            </w:r>
          </w:p>
        </w:tc>
        <w:tc>
          <w:tcPr>
            <w:tcW w:w="581" w:type="dxa"/>
            <w:shd w:val="clear" w:color="auto" w:fill="auto"/>
            <w:vAlign w:val="center"/>
          </w:tcPr>
          <w:p w14:paraId="6DF7DAB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803" w:type="dxa"/>
            <w:shd w:val="clear" w:color="auto" w:fill="auto"/>
            <w:vAlign w:val="center"/>
          </w:tcPr>
          <w:p w14:paraId="588F98F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2,34</w:t>
            </w:r>
          </w:p>
        </w:tc>
        <w:tc>
          <w:tcPr>
            <w:tcW w:w="563" w:type="dxa"/>
            <w:shd w:val="clear" w:color="auto" w:fill="auto"/>
            <w:vAlign w:val="center"/>
          </w:tcPr>
          <w:p w14:paraId="17EB416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w:t>
            </w:r>
          </w:p>
        </w:tc>
        <w:tc>
          <w:tcPr>
            <w:tcW w:w="766" w:type="dxa"/>
            <w:shd w:val="clear" w:color="auto" w:fill="auto"/>
            <w:vAlign w:val="center"/>
          </w:tcPr>
          <w:p w14:paraId="3737C1F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2,34</w:t>
            </w:r>
          </w:p>
        </w:tc>
        <w:tc>
          <w:tcPr>
            <w:tcW w:w="561" w:type="dxa"/>
            <w:shd w:val="clear" w:color="auto" w:fill="auto"/>
            <w:vAlign w:val="center"/>
          </w:tcPr>
          <w:p w14:paraId="7118DC2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shd w:val="clear" w:color="auto" w:fill="auto"/>
            <w:vAlign w:val="center"/>
          </w:tcPr>
          <w:p w14:paraId="61C2793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38,959</w:t>
            </w:r>
          </w:p>
        </w:tc>
        <w:tc>
          <w:tcPr>
            <w:tcW w:w="566" w:type="dxa"/>
            <w:shd w:val="clear" w:color="auto" w:fill="auto"/>
            <w:vAlign w:val="center"/>
          </w:tcPr>
          <w:p w14:paraId="7CB123E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shd w:val="clear" w:color="auto" w:fill="auto"/>
            <w:vAlign w:val="center"/>
          </w:tcPr>
          <w:p w14:paraId="32BAFE2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5,605</w:t>
            </w:r>
          </w:p>
        </w:tc>
        <w:tc>
          <w:tcPr>
            <w:tcW w:w="651" w:type="dxa"/>
            <w:shd w:val="clear" w:color="auto" w:fill="auto"/>
            <w:vAlign w:val="center"/>
          </w:tcPr>
          <w:p w14:paraId="4AB40E3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shd w:val="clear" w:color="auto" w:fill="auto"/>
            <w:vAlign w:val="center"/>
          </w:tcPr>
          <w:p w14:paraId="7892C9E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37,21%</w:t>
            </w:r>
          </w:p>
        </w:tc>
        <w:tc>
          <w:tcPr>
            <w:tcW w:w="560" w:type="dxa"/>
            <w:shd w:val="clear" w:color="auto" w:fill="auto"/>
            <w:vAlign w:val="center"/>
          </w:tcPr>
          <w:p w14:paraId="3258359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1044" w:type="dxa"/>
            <w:shd w:val="clear" w:color="auto" w:fill="auto"/>
            <w:vAlign w:val="center"/>
          </w:tcPr>
          <w:p w14:paraId="7D0C2B1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0,924</w:t>
            </w:r>
          </w:p>
        </w:tc>
        <w:tc>
          <w:tcPr>
            <w:tcW w:w="545" w:type="dxa"/>
            <w:shd w:val="clear" w:color="auto" w:fill="auto"/>
            <w:vAlign w:val="center"/>
          </w:tcPr>
          <w:p w14:paraId="56DDA6E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709" w:type="dxa"/>
            <w:shd w:val="clear" w:color="auto" w:fill="auto"/>
            <w:vAlign w:val="center"/>
          </w:tcPr>
          <w:p w14:paraId="105A04A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67</w:t>
            </w:r>
          </w:p>
        </w:tc>
      </w:tr>
      <w:tr w:rsidR="005F75F7" w:rsidRPr="005F75F7" w14:paraId="5B3B50F6" w14:textId="77777777" w:rsidTr="00D902FC">
        <w:trPr>
          <w:trHeight w:val="20"/>
        </w:trPr>
        <w:tc>
          <w:tcPr>
            <w:tcW w:w="426" w:type="dxa"/>
            <w:shd w:val="clear" w:color="auto" w:fill="auto"/>
          </w:tcPr>
          <w:p w14:paraId="5DE67ADB"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13</w:t>
            </w:r>
          </w:p>
        </w:tc>
        <w:tc>
          <w:tcPr>
            <w:tcW w:w="2133" w:type="dxa"/>
            <w:shd w:val="clear" w:color="auto" w:fill="auto"/>
            <w:hideMark/>
          </w:tcPr>
          <w:p w14:paraId="6E04075C"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Wojewódzka Stacja Pogotowia Ratunkowego w Przemyślu SPZOZ</w:t>
            </w:r>
          </w:p>
        </w:tc>
        <w:tc>
          <w:tcPr>
            <w:tcW w:w="714" w:type="dxa"/>
            <w:shd w:val="clear" w:color="auto" w:fill="auto"/>
            <w:vAlign w:val="center"/>
          </w:tcPr>
          <w:p w14:paraId="2B9B528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3,22%</w:t>
            </w:r>
          </w:p>
        </w:tc>
        <w:tc>
          <w:tcPr>
            <w:tcW w:w="549" w:type="dxa"/>
            <w:shd w:val="clear" w:color="auto" w:fill="auto"/>
            <w:vAlign w:val="center"/>
          </w:tcPr>
          <w:p w14:paraId="00B9D37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47" w:type="dxa"/>
            <w:shd w:val="clear" w:color="auto" w:fill="auto"/>
            <w:vAlign w:val="center"/>
          </w:tcPr>
          <w:p w14:paraId="73F3696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3,34%</w:t>
            </w:r>
          </w:p>
        </w:tc>
        <w:tc>
          <w:tcPr>
            <w:tcW w:w="533" w:type="dxa"/>
            <w:shd w:val="clear" w:color="auto" w:fill="auto"/>
            <w:vAlign w:val="center"/>
          </w:tcPr>
          <w:p w14:paraId="5C2086F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20" w:type="dxa"/>
            <w:shd w:val="clear" w:color="auto" w:fill="auto"/>
            <w:vAlign w:val="center"/>
          </w:tcPr>
          <w:p w14:paraId="66E592C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6,97%</w:t>
            </w:r>
          </w:p>
        </w:tc>
        <w:tc>
          <w:tcPr>
            <w:tcW w:w="581" w:type="dxa"/>
            <w:shd w:val="clear" w:color="auto" w:fill="auto"/>
            <w:vAlign w:val="center"/>
          </w:tcPr>
          <w:p w14:paraId="103DDF1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803" w:type="dxa"/>
            <w:shd w:val="clear" w:color="auto" w:fill="auto"/>
            <w:vAlign w:val="center"/>
          </w:tcPr>
          <w:p w14:paraId="30A3A78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1,56</w:t>
            </w:r>
          </w:p>
        </w:tc>
        <w:tc>
          <w:tcPr>
            <w:tcW w:w="563" w:type="dxa"/>
            <w:shd w:val="clear" w:color="auto" w:fill="auto"/>
            <w:vAlign w:val="center"/>
          </w:tcPr>
          <w:p w14:paraId="115DE44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w:t>
            </w:r>
          </w:p>
        </w:tc>
        <w:tc>
          <w:tcPr>
            <w:tcW w:w="766" w:type="dxa"/>
            <w:shd w:val="clear" w:color="auto" w:fill="auto"/>
            <w:vAlign w:val="center"/>
          </w:tcPr>
          <w:p w14:paraId="5A0AEDD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1,43</w:t>
            </w:r>
          </w:p>
        </w:tc>
        <w:tc>
          <w:tcPr>
            <w:tcW w:w="561" w:type="dxa"/>
            <w:shd w:val="clear" w:color="auto" w:fill="auto"/>
            <w:vAlign w:val="center"/>
          </w:tcPr>
          <w:p w14:paraId="7052B1C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shd w:val="clear" w:color="auto" w:fill="auto"/>
            <w:vAlign w:val="center"/>
          </w:tcPr>
          <w:p w14:paraId="2F7B48B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566" w:type="dxa"/>
            <w:shd w:val="clear" w:color="auto" w:fill="auto"/>
            <w:vAlign w:val="center"/>
          </w:tcPr>
          <w:p w14:paraId="27A115C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shd w:val="clear" w:color="auto" w:fill="auto"/>
            <w:vAlign w:val="center"/>
          </w:tcPr>
          <w:p w14:paraId="69CC6A5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651" w:type="dxa"/>
            <w:shd w:val="clear" w:color="auto" w:fill="auto"/>
            <w:vAlign w:val="center"/>
          </w:tcPr>
          <w:p w14:paraId="6217CA7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shd w:val="clear" w:color="auto" w:fill="auto"/>
            <w:vAlign w:val="center"/>
          </w:tcPr>
          <w:p w14:paraId="45C0238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33,00%</w:t>
            </w:r>
          </w:p>
        </w:tc>
        <w:tc>
          <w:tcPr>
            <w:tcW w:w="560" w:type="dxa"/>
            <w:shd w:val="clear" w:color="auto" w:fill="auto"/>
            <w:vAlign w:val="center"/>
          </w:tcPr>
          <w:p w14:paraId="771FF77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1044" w:type="dxa"/>
            <w:shd w:val="clear" w:color="auto" w:fill="auto"/>
            <w:vAlign w:val="center"/>
          </w:tcPr>
          <w:p w14:paraId="2066638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1,66</w:t>
            </w:r>
          </w:p>
        </w:tc>
        <w:tc>
          <w:tcPr>
            <w:tcW w:w="545" w:type="dxa"/>
            <w:shd w:val="clear" w:color="auto" w:fill="auto"/>
            <w:vAlign w:val="center"/>
          </w:tcPr>
          <w:p w14:paraId="130437B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w:t>
            </w:r>
          </w:p>
        </w:tc>
        <w:tc>
          <w:tcPr>
            <w:tcW w:w="709" w:type="dxa"/>
            <w:shd w:val="clear" w:color="auto" w:fill="auto"/>
            <w:vAlign w:val="center"/>
          </w:tcPr>
          <w:p w14:paraId="23D91D0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64</w:t>
            </w:r>
          </w:p>
        </w:tc>
      </w:tr>
      <w:tr w:rsidR="005F75F7" w:rsidRPr="005F75F7" w14:paraId="599F668B" w14:textId="77777777" w:rsidTr="00D902FC">
        <w:trPr>
          <w:trHeight w:val="20"/>
        </w:trPr>
        <w:tc>
          <w:tcPr>
            <w:tcW w:w="426" w:type="dxa"/>
            <w:shd w:val="clear" w:color="auto" w:fill="auto"/>
            <w:noWrap/>
          </w:tcPr>
          <w:p w14:paraId="0D9DC8C8"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11</w:t>
            </w:r>
          </w:p>
        </w:tc>
        <w:tc>
          <w:tcPr>
            <w:tcW w:w="2133" w:type="dxa"/>
            <w:shd w:val="clear" w:color="000000" w:fill="FFFFFF"/>
            <w:hideMark/>
          </w:tcPr>
          <w:p w14:paraId="792C6B35"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Ośrodek Terapii Uzależnień w Rzeszowie</w:t>
            </w:r>
          </w:p>
        </w:tc>
        <w:tc>
          <w:tcPr>
            <w:tcW w:w="714" w:type="dxa"/>
            <w:shd w:val="clear" w:color="auto" w:fill="auto"/>
            <w:vAlign w:val="center"/>
          </w:tcPr>
          <w:p w14:paraId="3819C63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3,99%</w:t>
            </w:r>
          </w:p>
        </w:tc>
        <w:tc>
          <w:tcPr>
            <w:tcW w:w="549" w:type="dxa"/>
            <w:shd w:val="clear" w:color="auto" w:fill="auto"/>
            <w:vAlign w:val="center"/>
          </w:tcPr>
          <w:p w14:paraId="4FD51C0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47" w:type="dxa"/>
            <w:shd w:val="clear" w:color="auto" w:fill="auto"/>
            <w:vAlign w:val="center"/>
          </w:tcPr>
          <w:p w14:paraId="3DA1AE7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3,99%</w:t>
            </w:r>
          </w:p>
        </w:tc>
        <w:tc>
          <w:tcPr>
            <w:tcW w:w="533" w:type="dxa"/>
            <w:shd w:val="clear" w:color="auto" w:fill="auto"/>
            <w:vAlign w:val="center"/>
          </w:tcPr>
          <w:p w14:paraId="7EAE9DE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20" w:type="dxa"/>
            <w:shd w:val="clear" w:color="auto" w:fill="auto"/>
            <w:vAlign w:val="center"/>
          </w:tcPr>
          <w:p w14:paraId="0BEBF01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6,80%</w:t>
            </w:r>
          </w:p>
        </w:tc>
        <w:tc>
          <w:tcPr>
            <w:tcW w:w="581" w:type="dxa"/>
            <w:shd w:val="clear" w:color="auto" w:fill="auto"/>
            <w:vAlign w:val="center"/>
          </w:tcPr>
          <w:p w14:paraId="7565BDE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803" w:type="dxa"/>
            <w:shd w:val="clear" w:color="auto" w:fill="auto"/>
            <w:vAlign w:val="center"/>
          </w:tcPr>
          <w:p w14:paraId="5B32245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4,97</w:t>
            </w:r>
          </w:p>
        </w:tc>
        <w:tc>
          <w:tcPr>
            <w:tcW w:w="563" w:type="dxa"/>
            <w:shd w:val="clear" w:color="auto" w:fill="auto"/>
            <w:vAlign w:val="center"/>
          </w:tcPr>
          <w:p w14:paraId="2DA8580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766" w:type="dxa"/>
            <w:shd w:val="clear" w:color="auto" w:fill="auto"/>
            <w:vAlign w:val="center"/>
          </w:tcPr>
          <w:p w14:paraId="2E44B54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4,97</w:t>
            </w:r>
          </w:p>
        </w:tc>
        <w:tc>
          <w:tcPr>
            <w:tcW w:w="561" w:type="dxa"/>
            <w:shd w:val="clear" w:color="auto" w:fill="auto"/>
            <w:vAlign w:val="center"/>
          </w:tcPr>
          <w:p w14:paraId="1CEBC80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852" w:type="dxa"/>
            <w:shd w:val="clear" w:color="auto" w:fill="auto"/>
            <w:vAlign w:val="center"/>
          </w:tcPr>
          <w:p w14:paraId="1C66715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36</w:t>
            </w:r>
          </w:p>
        </w:tc>
        <w:tc>
          <w:tcPr>
            <w:tcW w:w="566" w:type="dxa"/>
            <w:shd w:val="clear" w:color="auto" w:fill="auto"/>
            <w:vAlign w:val="center"/>
          </w:tcPr>
          <w:p w14:paraId="2116EF8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shd w:val="clear" w:color="auto" w:fill="auto"/>
            <w:vAlign w:val="center"/>
          </w:tcPr>
          <w:p w14:paraId="07F098A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0,89</w:t>
            </w:r>
          </w:p>
        </w:tc>
        <w:tc>
          <w:tcPr>
            <w:tcW w:w="651" w:type="dxa"/>
            <w:shd w:val="clear" w:color="auto" w:fill="auto"/>
            <w:vAlign w:val="center"/>
          </w:tcPr>
          <w:p w14:paraId="341C89B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shd w:val="clear" w:color="auto" w:fill="auto"/>
            <w:vAlign w:val="center"/>
          </w:tcPr>
          <w:p w14:paraId="45DB3B6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30,07%</w:t>
            </w:r>
          </w:p>
        </w:tc>
        <w:tc>
          <w:tcPr>
            <w:tcW w:w="560" w:type="dxa"/>
            <w:shd w:val="clear" w:color="auto" w:fill="auto"/>
            <w:vAlign w:val="center"/>
          </w:tcPr>
          <w:p w14:paraId="0682615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1044" w:type="dxa"/>
            <w:shd w:val="clear" w:color="auto" w:fill="auto"/>
            <w:vAlign w:val="center"/>
          </w:tcPr>
          <w:p w14:paraId="52DD23A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0,43</w:t>
            </w:r>
          </w:p>
        </w:tc>
        <w:tc>
          <w:tcPr>
            <w:tcW w:w="545" w:type="dxa"/>
            <w:shd w:val="clear" w:color="auto" w:fill="auto"/>
            <w:vAlign w:val="center"/>
          </w:tcPr>
          <w:p w14:paraId="08AE218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709" w:type="dxa"/>
            <w:shd w:val="clear" w:color="auto" w:fill="auto"/>
            <w:vAlign w:val="center"/>
          </w:tcPr>
          <w:p w14:paraId="1B48F9A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63</w:t>
            </w:r>
          </w:p>
        </w:tc>
      </w:tr>
      <w:tr w:rsidR="005F75F7" w:rsidRPr="005F75F7" w14:paraId="72893C58"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532DD6A2"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8</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208FF386"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Ośrodek Medycyny Pracy w Rzeszowie</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4D7E1A0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1,93%</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79B9107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4BB8F56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2,04%</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11AC34E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1677829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12,43%</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01DA164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269479F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1,65</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2917644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016ED21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1,49</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137E44C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6E203A6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18,14</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656DD07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40E3EA5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14,92</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02A27F9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2F04EE1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53,31%</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6B2DB67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53BE4EE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1,6</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46E67D1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359AE8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60</w:t>
            </w:r>
          </w:p>
        </w:tc>
      </w:tr>
      <w:tr w:rsidR="005F75F7" w:rsidRPr="005F75F7" w14:paraId="10A99740"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15DCEADE"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5</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572AF388"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Specjalistyczny Psychiatryczny Zespół Opieki Zdrowotnej w Jarosławiu</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25CD7AA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4,00%</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56E8299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23918C6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3,94%</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21C35A5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5E6E04D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3,85%</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3DBD67C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264320C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1,42</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784E145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666F2C7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1,42</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5209A99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57BB25C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31</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41A5E23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3E35EE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14BC630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1A2F528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30,00%</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247E59E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1E4C416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3,01</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6E7696C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68392F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57</w:t>
            </w:r>
          </w:p>
        </w:tc>
      </w:tr>
      <w:tr w:rsidR="005F75F7" w:rsidRPr="005F75F7" w14:paraId="4B766809"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551C2859"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10</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3444BDB7"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Podkarpackie Centrum Medyczne w Rzeszowie SP ZOZ</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4C2EF81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1,02%</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40F03F5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5BBA637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0,75%</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18869FE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7FB21CD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2,70%</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6F084FF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2CF0D96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2ED1051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23BCC71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1,99</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1C2F0D6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54231EC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48</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625FE49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3D19F8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42</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6BE268C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67DB10A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50,39%</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5A1ADFD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540AEB2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2,67</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41EC87D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A243E4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56</w:t>
            </w:r>
          </w:p>
        </w:tc>
      </w:tr>
      <w:tr w:rsidR="005F75F7" w:rsidRPr="005F75F7" w14:paraId="2ADF138E"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1882023B"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7</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4E9C468F"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Wojewódzka Stacja Pogotowia Ratunkowego w Rzeszowie</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5C4BAD7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0,27%</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5E4AC66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75AA809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0,47%</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2914D20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1ECA9CB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0,66%</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5DEB764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2D2501B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1,49</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7FBFC2B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7A9DBC4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1,28</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104CA28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6703A11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11486C0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2649BD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08BA438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6CBE023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44,00%</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5066CB5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1293DBF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1,87</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4D6B5DC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AF8EE6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54</w:t>
            </w:r>
          </w:p>
        </w:tc>
      </w:tr>
      <w:tr w:rsidR="005F75F7" w:rsidRPr="005F75F7" w14:paraId="65177674"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4AFDE728"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1</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0999C8B2"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Kliniczny Szpital Wojewódzki Nr 2  im. Św. Jadwigi Królowej w Rzeszowie</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6BB4FC0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1,38%</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193473B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0C4782D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2,42%</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2E73C37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2A1E265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2,53%</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61B0977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4EB07AB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1,49</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636186D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2F7DD7D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1,34</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09CD493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237F7A9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42,82</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6C8F772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56DB141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23,48</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2D9FB3F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62C7E83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70,50%</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2A25606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76EF122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-3,23</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4C981C6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285E10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44</w:t>
            </w:r>
          </w:p>
        </w:tc>
      </w:tr>
      <w:tr w:rsidR="005F75F7" w:rsidRPr="005F75F7" w14:paraId="61B6FC86"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50282BF7"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3</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302B7BD2"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Szpital im. Św. Ojca Pio w Przemyślu</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0F3A000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1,00%</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3F1F029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23B3986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2,00%</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3BEB5634"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4E56E31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1,00%</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765350F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7555B22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1,26</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73A0526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68869B0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1,09</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0EF6326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13</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15F7C77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36,16</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5DAB453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E8A4E6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23,21</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6AEEAAF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6120E47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94,00%</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45E9D8C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372E874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-4,71</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0F07F2E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EFF42E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40</w:t>
            </w:r>
          </w:p>
        </w:tc>
      </w:tr>
      <w:tr w:rsidR="005F75F7" w:rsidRPr="005F75F7" w14:paraId="756AD7D7"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440281A3"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6</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2F3425B4"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Podkarpacki Szpital Psychiatryczny im. prof. Eugeniusza Brzezickiego w Żurawicy</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7E973BE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-0,07%</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0AE24B7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2675C46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-0,07%</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0EFCC21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11AFC7C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-0,07%</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1F90C13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0F51283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0,88</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378143B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750E921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0,83</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4B08B1A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2793962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34</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63F42B2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927B6C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11</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739CD58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62B95E7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27,64%</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7C699F6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7B15C1C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1,94</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0CB8F87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6</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1FE39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38</w:t>
            </w:r>
          </w:p>
        </w:tc>
      </w:tr>
      <w:tr w:rsidR="005F75F7" w:rsidRPr="005F75F7" w14:paraId="2F5A4E88"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1EE757F5"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2</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2C26076E"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Szpital Podkarpacki im. Jana Pawła II  w Krośnie</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49F7CDFE"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-2,75%</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42A66A9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0554944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-0,61%</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18C924B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7792277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-4,33%</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3D00054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44D7259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0,71</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0CC9356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4</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1E1237F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0,62</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3BFAA5A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19B1A8C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31</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4FA3804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4E7C016C"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34</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064F74D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3141FF1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76,04%</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4BE4354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0CDBC9E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-2,69</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66DE04E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E6EE529"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25</w:t>
            </w:r>
          </w:p>
        </w:tc>
      </w:tr>
      <w:tr w:rsidR="005F75F7" w:rsidRPr="005F75F7" w14:paraId="78E05B64" w14:textId="77777777" w:rsidTr="00D902FC">
        <w:trPr>
          <w:trHeight w:val="20"/>
        </w:trPr>
        <w:tc>
          <w:tcPr>
            <w:tcW w:w="426" w:type="dxa"/>
            <w:tcBorders>
              <w:top w:val="single" w:sz="2" w:space="0" w:color="auto"/>
              <w:left w:val="single" w:sz="2" w:space="0" w:color="auto"/>
              <w:bottom w:val="single" w:sz="2" w:space="0" w:color="auto"/>
              <w:right w:val="single" w:sz="2" w:space="0" w:color="auto"/>
            </w:tcBorders>
            <w:shd w:val="clear" w:color="auto" w:fill="auto"/>
            <w:noWrap/>
          </w:tcPr>
          <w:p w14:paraId="36837BF7" w14:textId="77777777" w:rsidR="005F75F7" w:rsidRPr="005F75F7" w:rsidRDefault="005F75F7" w:rsidP="005F75F7">
            <w:pPr>
              <w:numPr>
                <w:ilvl w:val="0"/>
                <w:numId w:val="15"/>
              </w:numPr>
              <w:spacing w:after="0" w:line="240" w:lineRule="auto"/>
              <w:ind w:left="417"/>
              <w:contextualSpacing/>
              <w:jc w:val="center"/>
              <w:rPr>
                <w:rFonts w:eastAsia="Times New Roman" w:cstheme="minorHAnsi"/>
                <w:color w:val="000000"/>
                <w:sz w:val="16"/>
                <w:szCs w:val="16"/>
                <w:lang w:eastAsia="pl-PL"/>
              </w:rPr>
            </w:pPr>
            <w:r w:rsidRPr="005F75F7">
              <w:rPr>
                <w:rFonts w:eastAsiaTheme="minorEastAsia"/>
                <w:sz w:val="16"/>
                <w:szCs w:val="16"/>
              </w:rPr>
              <w:t>4</w:t>
            </w:r>
          </w:p>
        </w:tc>
        <w:tc>
          <w:tcPr>
            <w:tcW w:w="2133" w:type="dxa"/>
            <w:tcBorders>
              <w:top w:val="single" w:sz="2" w:space="0" w:color="auto"/>
              <w:left w:val="single" w:sz="2" w:space="0" w:color="auto"/>
              <w:bottom w:val="single" w:sz="2" w:space="0" w:color="auto"/>
              <w:right w:val="single" w:sz="2" w:space="0" w:color="auto"/>
            </w:tcBorders>
            <w:shd w:val="clear" w:color="000000" w:fill="FFFFFF"/>
            <w:hideMark/>
          </w:tcPr>
          <w:p w14:paraId="6D379449" w14:textId="77777777" w:rsidR="005F75F7" w:rsidRPr="005F75F7" w:rsidRDefault="005F75F7" w:rsidP="005F75F7">
            <w:pPr>
              <w:spacing w:after="0" w:line="240" w:lineRule="auto"/>
              <w:rPr>
                <w:rFonts w:eastAsia="Times New Roman" w:cstheme="minorHAnsi"/>
                <w:color w:val="000000"/>
                <w:sz w:val="16"/>
                <w:szCs w:val="16"/>
                <w:lang w:eastAsia="pl-PL"/>
              </w:rPr>
            </w:pPr>
            <w:r w:rsidRPr="005F75F7">
              <w:rPr>
                <w:rFonts w:eastAsiaTheme="minorEastAsia"/>
                <w:sz w:val="16"/>
                <w:szCs w:val="16"/>
              </w:rPr>
              <w:t>Wojewódzki Szpital im. Zofii z Zamoyskich Tarnowskiej w Tarnobrzegu</w:t>
            </w:r>
          </w:p>
        </w:tc>
        <w:tc>
          <w:tcPr>
            <w:tcW w:w="714" w:type="dxa"/>
            <w:tcBorders>
              <w:top w:val="single" w:sz="2" w:space="0" w:color="auto"/>
              <w:left w:val="single" w:sz="2" w:space="0" w:color="auto"/>
              <w:bottom w:val="single" w:sz="2" w:space="0" w:color="auto"/>
              <w:right w:val="single" w:sz="2" w:space="0" w:color="auto"/>
            </w:tcBorders>
            <w:shd w:val="clear" w:color="auto" w:fill="auto"/>
            <w:vAlign w:val="center"/>
          </w:tcPr>
          <w:p w14:paraId="0840A16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-10,37%</w:t>
            </w:r>
          </w:p>
        </w:tc>
        <w:tc>
          <w:tcPr>
            <w:tcW w:w="549" w:type="dxa"/>
            <w:tcBorders>
              <w:top w:val="single" w:sz="2" w:space="0" w:color="auto"/>
              <w:left w:val="single" w:sz="2" w:space="0" w:color="auto"/>
              <w:bottom w:val="single" w:sz="2" w:space="0" w:color="auto"/>
              <w:right w:val="single" w:sz="2" w:space="0" w:color="auto"/>
            </w:tcBorders>
            <w:shd w:val="clear" w:color="auto" w:fill="auto"/>
            <w:vAlign w:val="center"/>
          </w:tcPr>
          <w:p w14:paraId="327C505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14:paraId="66222F35"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-7,19%</w:t>
            </w:r>
          </w:p>
        </w:tc>
        <w:tc>
          <w:tcPr>
            <w:tcW w:w="533" w:type="dxa"/>
            <w:tcBorders>
              <w:top w:val="single" w:sz="2" w:space="0" w:color="auto"/>
              <w:left w:val="single" w:sz="2" w:space="0" w:color="auto"/>
              <w:bottom w:val="single" w:sz="2" w:space="0" w:color="auto"/>
              <w:right w:val="single" w:sz="2" w:space="0" w:color="auto"/>
            </w:tcBorders>
            <w:shd w:val="clear" w:color="auto" w:fill="auto"/>
            <w:vAlign w:val="center"/>
          </w:tcPr>
          <w:p w14:paraId="4879E0CA"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14:paraId="06B18BB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-8,35%</w:t>
            </w:r>
          </w:p>
        </w:tc>
        <w:tc>
          <w:tcPr>
            <w:tcW w:w="581" w:type="dxa"/>
            <w:tcBorders>
              <w:top w:val="single" w:sz="2" w:space="0" w:color="auto"/>
              <w:left w:val="single" w:sz="2" w:space="0" w:color="auto"/>
              <w:bottom w:val="single" w:sz="2" w:space="0" w:color="auto"/>
              <w:right w:val="single" w:sz="2" w:space="0" w:color="auto"/>
            </w:tcBorders>
            <w:shd w:val="clear" w:color="auto" w:fill="auto"/>
            <w:vAlign w:val="center"/>
          </w:tcPr>
          <w:p w14:paraId="644A89C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803" w:type="dxa"/>
            <w:tcBorders>
              <w:top w:val="single" w:sz="2" w:space="0" w:color="auto"/>
              <w:left w:val="single" w:sz="2" w:space="0" w:color="auto"/>
              <w:bottom w:val="single" w:sz="2" w:space="0" w:color="auto"/>
              <w:right w:val="single" w:sz="2" w:space="0" w:color="auto"/>
            </w:tcBorders>
            <w:shd w:val="clear" w:color="auto" w:fill="auto"/>
            <w:vAlign w:val="center"/>
          </w:tcPr>
          <w:p w14:paraId="1A94995F"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0,259</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14:paraId="51CC9193"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766" w:type="dxa"/>
            <w:tcBorders>
              <w:top w:val="single" w:sz="2" w:space="0" w:color="auto"/>
              <w:left w:val="single" w:sz="2" w:space="0" w:color="auto"/>
              <w:bottom w:val="single" w:sz="2" w:space="0" w:color="auto"/>
              <w:right w:val="single" w:sz="2" w:space="0" w:color="auto"/>
            </w:tcBorders>
            <w:shd w:val="clear" w:color="auto" w:fill="auto"/>
            <w:vAlign w:val="center"/>
          </w:tcPr>
          <w:p w14:paraId="2FF999D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0,23</w:t>
            </w:r>
          </w:p>
        </w:tc>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15903E2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852" w:type="dxa"/>
            <w:tcBorders>
              <w:top w:val="single" w:sz="2" w:space="0" w:color="auto"/>
              <w:left w:val="single" w:sz="2" w:space="0" w:color="auto"/>
              <w:bottom w:val="single" w:sz="2" w:space="0" w:color="auto"/>
              <w:right w:val="single" w:sz="2" w:space="0" w:color="auto"/>
            </w:tcBorders>
            <w:shd w:val="clear" w:color="auto" w:fill="auto"/>
            <w:vAlign w:val="center"/>
          </w:tcPr>
          <w:p w14:paraId="59AD1E9B"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24,3</w:t>
            </w:r>
          </w:p>
        </w:tc>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14:paraId="617C023D"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3</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6D6EC782"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93,47</w:t>
            </w:r>
          </w:p>
        </w:tc>
        <w:tc>
          <w:tcPr>
            <w:tcW w:w="651" w:type="dxa"/>
            <w:tcBorders>
              <w:top w:val="single" w:sz="2" w:space="0" w:color="auto"/>
              <w:left w:val="single" w:sz="2" w:space="0" w:color="auto"/>
              <w:bottom w:val="single" w:sz="2" w:space="0" w:color="auto"/>
              <w:right w:val="single" w:sz="2" w:space="0" w:color="auto"/>
            </w:tcBorders>
            <w:shd w:val="clear" w:color="auto" w:fill="auto"/>
            <w:vAlign w:val="center"/>
          </w:tcPr>
          <w:p w14:paraId="4DE8AEE7"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14:paraId="728AA450"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56,07%</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14:paraId="4BCE8D71"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8</w:t>
            </w:r>
          </w:p>
        </w:tc>
        <w:tc>
          <w:tcPr>
            <w:tcW w:w="1044" w:type="dxa"/>
            <w:tcBorders>
              <w:top w:val="single" w:sz="2" w:space="0" w:color="auto"/>
              <w:left w:val="single" w:sz="2" w:space="0" w:color="auto"/>
              <w:bottom w:val="single" w:sz="2" w:space="0" w:color="auto"/>
              <w:right w:val="single" w:sz="2" w:space="0" w:color="auto"/>
            </w:tcBorders>
            <w:shd w:val="clear" w:color="auto" w:fill="auto"/>
            <w:vAlign w:val="center"/>
          </w:tcPr>
          <w:p w14:paraId="4E1515F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-2,165</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19F8B6D8"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58B3796" w14:textId="77777777" w:rsidR="005F75F7" w:rsidRPr="005F75F7" w:rsidRDefault="005F75F7" w:rsidP="005F75F7">
            <w:pPr>
              <w:spacing w:after="0" w:line="240" w:lineRule="auto"/>
              <w:jc w:val="center"/>
              <w:rPr>
                <w:rFonts w:eastAsia="Times New Roman" w:cstheme="minorHAnsi"/>
                <w:color w:val="000000"/>
                <w:sz w:val="16"/>
                <w:szCs w:val="16"/>
                <w:lang w:eastAsia="pl-PL"/>
              </w:rPr>
            </w:pPr>
            <w:r w:rsidRPr="005F75F7">
              <w:rPr>
                <w:rFonts w:eastAsiaTheme="minorEastAsia"/>
                <w:sz w:val="16"/>
                <w:szCs w:val="16"/>
              </w:rPr>
              <w:t>11</w:t>
            </w:r>
          </w:p>
        </w:tc>
      </w:tr>
    </w:tbl>
    <w:p w14:paraId="521F0CBA" w14:textId="77777777" w:rsidR="005F75F7" w:rsidRPr="005F75F7" w:rsidRDefault="005F75F7" w:rsidP="005F75F7">
      <w:pPr>
        <w:spacing w:after="0" w:line="276" w:lineRule="auto"/>
        <w:ind w:firstLine="708"/>
        <w:jc w:val="both"/>
        <w:rPr>
          <w:rFonts w:ascii="Arial" w:eastAsiaTheme="minorEastAsia" w:hAnsi="Arial" w:cs="Arial"/>
          <w:sz w:val="24"/>
          <w:szCs w:val="24"/>
        </w:rPr>
      </w:pPr>
    </w:p>
    <w:p w14:paraId="4D0B4402" w14:textId="77777777" w:rsidR="00D80B0F" w:rsidRDefault="00D80B0F" w:rsidP="00D80B0F">
      <w:pPr>
        <w:shd w:val="clear" w:color="auto" w:fill="FFFFFF"/>
        <w:spacing w:after="0" w:line="276" w:lineRule="auto"/>
        <w:rPr>
          <w:rFonts w:ascii="Arial" w:eastAsia="Times New Roman" w:hAnsi="Arial" w:cs="Arial"/>
          <w:color w:val="000000" w:themeColor="text1"/>
          <w:sz w:val="24"/>
          <w:szCs w:val="24"/>
          <w:lang w:eastAsia="pl-PL"/>
        </w:rPr>
      </w:pPr>
    </w:p>
    <w:sectPr w:rsidR="00D80B0F" w:rsidSect="00D902FC">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F012" w14:textId="77777777" w:rsidR="00AD4485" w:rsidRDefault="00AD4485" w:rsidP="0009272E">
      <w:pPr>
        <w:spacing w:after="0" w:line="240" w:lineRule="auto"/>
      </w:pPr>
      <w:r>
        <w:separator/>
      </w:r>
    </w:p>
  </w:endnote>
  <w:endnote w:type="continuationSeparator" w:id="0">
    <w:p w14:paraId="33DE5705" w14:textId="77777777" w:rsidR="00AD4485" w:rsidRDefault="00AD4485" w:rsidP="0009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8E0" w14:textId="77777777" w:rsidR="00D902FC" w:rsidRDefault="00D902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40792"/>
      <w:docPartObj>
        <w:docPartGallery w:val="Page Numbers (Bottom of Page)"/>
        <w:docPartUnique/>
      </w:docPartObj>
    </w:sdtPr>
    <w:sdtEndPr/>
    <w:sdtContent>
      <w:p w14:paraId="0C383016" w14:textId="77777777" w:rsidR="00D902FC" w:rsidRDefault="00D902FC" w:rsidP="00D902FC">
        <w:pPr>
          <w:pStyle w:val="Stopka"/>
          <w:jc w:val="right"/>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1DC9" w14:textId="77777777" w:rsidR="00AD4485" w:rsidRDefault="00AD4485" w:rsidP="0009272E">
      <w:pPr>
        <w:spacing w:after="0" w:line="240" w:lineRule="auto"/>
      </w:pPr>
      <w:r>
        <w:separator/>
      </w:r>
    </w:p>
  </w:footnote>
  <w:footnote w:type="continuationSeparator" w:id="0">
    <w:p w14:paraId="080CF67D" w14:textId="77777777" w:rsidR="00AD4485" w:rsidRDefault="00AD4485" w:rsidP="00092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8B0"/>
    <w:multiLevelType w:val="hybridMultilevel"/>
    <w:tmpl w:val="70CE2278"/>
    <w:lvl w:ilvl="0" w:tplc="9C8E8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5273A"/>
    <w:multiLevelType w:val="hybridMultilevel"/>
    <w:tmpl w:val="2F5C5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C62F9"/>
    <w:multiLevelType w:val="hybridMultilevel"/>
    <w:tmpl w:val="1D36E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C6C07"/>
    <w:multiLevelType w:val="multilevel"/>
    <w:tmpl w:val="FB5A4F9E"/>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1124BC"/>
    <w:multiLevelType w:val="hybridMultilevel"/>
    <w:tmpl w:val="0A4C7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FA2CA8"/>
    <w:multiLevelType w:val="hybridMultilevel"/>
    <w:tmpl w:val="66B6B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C65D25"/>
    <w:multiLevelType w:val="hybridMultilevel"/>
    <w:tmpl w:val="B39E238C"/>
    <w:lvl w:ilvl="0" w:tplc="7276BCC8">
      <w:start w:val="1"/>
      <w:numFmt w:val="decimal"/>
      <w:lvlText w:val="%1)"/>
      <w:lvlJc w:val="left"/>
      <w:pPr>
        <w:ind w:left="720" w:hanging="360"/>
      </w:pPr>
      <w:rPr>
        <w:rFonts w:ascii="Arial" w:hAnsi="Arial"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A7B02"/>
    <w:multiLevelType w:val="hybridMultilevel"/>
    <w:tmpl w:val="63FAC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6B5923"/>
    <w:multiLevelType w:val="hybridMultilevel"/>
    <w:tmpl w:val="EE7A4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C241F"/>
    <w:multiLevelType w:val="hybridMultilevel"/>
    <w:tmpl w:val="A4303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A72A3"/>
    <w:multiLevelType w:val="hybridMultilevel"/>
    <w:tmpl w:val="09D0B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848EF"/>
    <w:multiLevelType w:val="hybridMultilevel"/>
    <w:tmpl w:val="634E2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467D21"/>
    <w:multiLevelType w:val="hybridMultilevel"/>
    <w:tmpl w:val="E690A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650BF4"/>
    <w:multiLevelType w:val="hybridMultilevel"/>
    <w:tmpl w:val="95E4E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4B25B5"/>
    <w:multiLevelType w:val="hybridMultilevel"/>
    <w:tmpl w:val="F7B68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3281231">
    <w:abstractNumId w:val="13"/>
  </w:num>
  <w:num w:numId="2" w16cid:durableId="1977490096">
    <w:abstractNumId w:val="10"/>
  </w:num>
  <w:num w:numId="3" w16cid:durableId="1848671050">
    <w:abstractNumId w:val="5"/>
  </w:num>
  <w:num w:numId="4" w16cid:durableId="905725291">
    <w:abstractNumId w:val="4"/>
  </w:num>
  <w:num w:numId="5" w16cid:durableId="511840870">
    <w:abstractNumId w:val="6"/>
  </w:num>
  <w:num w:numId="6" w16cid:durableId="80685760">
    <w:abstractNumId w:val="1"/>
  </w:num>
  <w:num w:numId="7" w16cid:durableId="1311669318">
    <w:abstractNumId w:val="7"/>
  </w:num>
  <w:num w:numId="8" w16cid:durableId="1145513591">
    <w:abstractNumId w:val="2"/>
  </w:num>
  <w:num w:numId="9" w16cid:durableId="836578382">
    <w:abstractNumId w:val="3"/>
  </w:num>
  <w:num w:numId="10" w16cid:durableId="889147619">
    <w:abstractNumId w:val="12"/>
  </w:num>
  <w:num w:numId="11" w16cid:durableId="932202333">
    <w:abstractNumId w:val="8"/>
  </w:num>
  <w:num w:numId="12" w16cid:durableId="1856111580">
    <w:abstractNumId w:val="9"/>
  </w:num>
  <w:num w:numId="13" w16cid:durableId="1829007277">
    <w:abstractNumId w:val="0"/>
  </w:num>
  <w:num w:numId="14" w16cid:durableId="251665002">
    <w:abstractNumId w:val="14"/>
  </w:num>
  <w:num w:numId="15" w16cid:durableId="1144615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62"/>
    <w:rsid w:val="00032F56"/>
    <w:rsid w:val="0004166E"/>
    <w:rsid w:val="00060555"/>
    <w:rsid w:val="00080A0D"/>
    <w:rsid w:val="0009272E"/>
    <w:rsid w:val="000A0C36"/>
    <w:rsid w:val="000C6574"/>
    <w:rsid w:val="001277F9"/>
    <w:rsid w:val="00134A1C"/>
    <w:rsid w:val="00151421"/>
    <w:rsid w:val="0019281A"/>
    <w:rsid w:val="00193A32"/>
    <w:rsid w:val="001C14FB"/>
    <w:rsid w:val="002005B4"/>
    <w:rsid w:val="00232F6A"/>
    <w:rsid w:val="00241028"/>
    <w:rsid w:val="002420CF"/>
    <w:rsid w:val="00244FE1"/>
    <w:rsid w:val="00283ACF"/>
    <w:rsid w:val="002A1C38"/>
    <w:rsid w:val="002A6603"/>
    <w:rsid w:val="002C0950"/>
    <w:rsid w:val="002F7442"/>
    <w:rsid w:val="00300A15"/>
    <w:rsid w:val="00301516"/>
    <w:rsid w:val="00321871"/>
    <w:rsid w:val="00331F2F"/>
    <w:rsid w:val="00373A0C"/>
    <w:rsid w:val="0038635A"/>
    <w:rsid w:val="003E2662"/>
    <w:rsid w:val="00412098"/>
    <w:rsid w:val="00431CD0"/>
    <w:rsid w:val="00440644"/>
    <w:rsid w:val="00445132"/>
    <w:rsid w:val="004626BA"/>
    <w:rsid w:val="0047351D"/>
    <w:rsid w:val="00475CA5"/>
    <w:rsid w:val="00484FD6"/>
    <w:rsid w:val="004D6B7C"/>
    <w:rsid w:val="005230ED"/>
    <w:rsid w:val="00571065"/>
    <w:rsid w:val="00575D1F"/>
    <w:rsid w:val="005C0651"/>
    <w:rsid w:val="005E3E6D"/>
    <w:rsid w:val="005F75F7"/>
    <w:rsid w:val="00607B98"/>
    <w:rsid w:val="006300C8"/>
    <w:rsid w:val="00631D7E"/>
    <w:rsid w:val="0064396B"/>
    <w:rsid w:val="00645EA9"/>
    <w:rsid w:val="006573BA"/>
    <w:rsid w:val="006636D4"/>
    <w:rsid w:val="00677FD8"/>
    <w:rsid w:val="006A2933"/>
    <w:rsid w:val="006D048B"/>
    <w:rsid w:val="00723756"/>
    <w:rsid w:val="0076718C"/>
    <w:rsid w:val="00783A6D"/>
    <w:rsid w:val="007B7A99"/>
    <w:rsid w:val="007C3F3D"/>
    <w:rsid w:val="007D08F5"/>
    <w:rsid w:val="00893D93"/>
    <w:rsid w:val="008950C3"/>
    <w:rsid w:val="0095429D"/>
    <w:rsid w:val="0097415A"/>
    <w:rsid w:val="00991B6C"/>
    <w:rsid w:val="0099227C"/>
    <w:rsid w:val="009D33BA"/>
    <w:rsid w:val="00A00BAE"/>
    <w:rsid w:val="00A05420"/>
    <w:rsid w:val="00A348E3"/>
    <w:rsid w:val="00A46A81"/>
    <w:rsid w:val="00AD4485"/>
    <w:rsid w:val="00B03CAD"/>
    <w:rsid w:val="00B07787"/>
    <w:rsid w:val="00BB7E98"/>
    <w:rsid w:val="00BD08F0"/>
    <w:rsid w:val="00C129CF"/>
    <w:rsid w:val="00D42E3E"/>
    <w:rsid w:val="00D80B0F"/>
    <w:rsid w:val="00D902FC"/>
    <w:rsid w:val="00DA041A"/>
    <w:rsid w:val="00DB6FDE"/>
    <w:rsid w:val="00DD3E7A"/>
    <w:rsid w:val="00E161A4"/>
    <w:rsid w:val="00E43ABB"/>
    <w:rsid w:val="00E65DA9"/>
    <w:rsid w:val="00EF1ABC"/>
    <w:rsid w:val="00F505DC"/>
    <w:rsid w:val="00F74AF6"/>
    <w:rsid w:val="00F75565"/>
    <w:rsid w:val="00FA0C2D"/>
    <w:rsid w:val="00FE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3A18"/>
  <w15:chartTrackingRefBased/>
  <w15:docId w15:val="{C5C48568-5DB9-4F62-B132-65DCE655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662"/>
  </w:style>
  <w:style w:type="paragraph" w:styleId="Nagwek1">
    <w:name w:val="heading 1"/>
    <w:basedOn w:val="Normalny"/>
    <w:next w:val="Normalny"/>
    <w:link w:val="Nagwek1Znak"/>
    <w:uiPriority w:val="9"/>
    <w:qFormat/>
    <w:rsid w:val="00D902FC"/>
    <w:pPr>
      <w:shd w:val="clear" w:color="auto" w:fill="FFFFFF"/>
      <w:spacing w:after="240" w:line="276" w:lineRule="auto"/>
      <w:jc w:val="center"/>
      <w:outlineLvl w:val="0"/>
    </w:pPr>
    <w:rPr>
      <w:rFonts w:ascii="Arial" w:eastAsia="Times New Roman" w:hAnsi="Arial" w:cs="Arial"/>
      <w:b/>
      <w:bCs/>
      <w:color w:val="000000" w:themeColor="text1"/>
      <w:sz w:val="24"/>
      <w:szCs w:val="24"/>
      <w:lang w:eastAsia="pl-PL"/>
    </w:rPr>
  </w:style>
  <w:style w:type="paragraph" w:styleId="Nagwek2">
    <w:name w:val="heading 2"/>
    <w:basedOn w:val="Normalny"/>
    <w:next w:val="Normalny"/>
    <w:link w:val="Nagwek2Znak"/>
    <w:uiPriority w:val="9"/>
    <w:unhideWhenUsed/>
    <w:qFormat/>
    <w:rsid w:val="00D902FC"/>
    <w:pPr>
      <w:keepNext/>
      <w:keepLines/>
      <w:numPr>
        <w:numId w:val="9"/>
      </w:numPr>
      <w:spacing w:before="120" w:after="120" w:line="276" w:lineRule="auto"/>
      <w:ind w:left="714" w:hanging="357"/>
      <w:outlineLvl w:val="1"/>
    </w:pPr>
    <w:rPr>
      <w:rFonts w:ascii="Arial" w:eastAsia="Times New Roman" w:hAnsi="Arial" w:cstheme="majorBidi"/>
      <w:b/>
      <w:sz w:val="24"/>
      <w:szCs w:val="36"/>
      <w:lang w:eastAsia="pl-PL"/>
    </w:rPr>
  </w:style>
  <w:style w:type="paragraph" w:styleId="Nagwek3">
    <w:name w:val="heading 3"/>
    <w:basedOn w:val="Normalny"/>
    <w:next w:val="Normalny"/>
    <w:link w:val="Nagwek3Znak"/>
    <w:uiPriority w:val="9"/>
    <w:unhideWhenUsed/>
    <w:qFormat/>
    <w:rsid w:val="00D902FC"/>
    <w:pPr>
      <w:keepNext/>
      <w:keepLines/>
      <w:numPr>
        <w:ilvl w:val="1"/>
        <w:numId w:val="9"/>
      </w:numPr>
      <w:spacing w:before="120" w:after="120" w:line="276" w:lineRule="auto"/>
      <w:ind w:left="1077"/>
      <w:outlineLvl w:val="2"/>
    </w:pPr>
    <w:rPr>
      <w:rFonts w:ascii="Arial" w:eastAsia="Times New Roman" w:hAnsi="Arial" w:cstheme="majorBidi"/>
      <w:sz w:val="24"/>
      <w:szCs w:val="28"/>
      <w:lang w:eastAsia="pl-PL"/>
    </w:rPr>
  </w:style>
  <w:style w:type="paragraph" w:styleId="Nagwek4">
    <w:name w:val="heading 4"/>
    <w:basedOn w:val="Normalny"/>
    <w:next w:val="Normalny"/>
    <w:link w:val="Nagwek4Znak"/>
    <w:uiPriority w:val="9"/>
    <w:semiHidden/>
    <w:unhideWhenUsed/>
    <w:qFormat/>
    <w:rsid w:val="005F75F7"/>
    <w:pPr>
      <w:keepNext/>
      <w:keepLines/>
      <w:spacing w:before="80" w:after="0" w:line="264" w:lineRule="auto"/>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5F75F7"/>
    <w:pPr>
      <w:keepNext/>
      <w:keepLines/>
      <w:spacing w:before="80" w:after="0" w:line="264" w:lineRule="auto"/>
      <w:outlineLvl w:val="4"/>
    </w:pPr>
    <w:rPr>
      <w:rFonts w:asciiTheme="majorHAnsi" w:eastAsiaTheme="majorEastAsia" w:hAnsiTheme="majorHAnsi" w:cstheme="majorBidi"/>
      <w:i/>
      <w:iCs/>
    </w:rPr>
  </w:style>
  <w:style w:type="paragraph" w:styleId="Nagwek6">
    <w:name w:val="heading 6"/>
    <w:basedOn w:val="Normalny"/>
    <w:next w:val="Normalny"/>
    <w:link w:val="Nagwek6Znak"/>
    <w:uiPriority w:val="9"/>
    <w:semiHidden/>
    <w:unhideWhenUsed/>
    <w:qFormat/>
    <w:rsid w:val="005F75F7"/>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Nagwek7">
    <w:name w:val="heading 7"/>
    <w:basedOn w:val="Normalny"/>
    <w:next w:val="Normalny"/>
    <w:link w:val="Nagwek7Znak"/>
    <w:uiPriority w:val="9"/>
    <w:semiHidden/>
    <w:unhideWhenUsed/>
    <w:qFormat/>
    <w:rsid w:val="005F75F7"/>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Nagwek8">
    <w:name w:val="heading 8"/>
    <w:basedOn w:val="Normalny"/>
    <w:next w:val="Normalny"/>
    <w:link w:val="Nagwek8Znak"/>
    <w:uiPriority w:val="9"/>
    <w:semiHidden/>
    <w:unhideWhenUsed/>
    <w:qFormat/>
    <w:rsid w:val="005F75F7"/>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Nagwek9">
    <w:name w:val="heading 9"/>
    <w:basedOn w:val="Normalny"/>
    <w:next w:val="Normalny"/>
    <w:link w:val="Nagwek9Znak"/>
    <w:uiPriority w:val="9"/>
    <w:semiHidden/>
    <w:unhideWhenUsed/>
    <w:qFormat/>
    <w:rsid w:val="005F75F7"/>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unhideWhenUsed/>
    <w:rsid w:val="003E2662"/>
    <w:pPr>
      <w:spacing w:after="120"/>
    </w:pPr>
    <w:rPr>
      <w:sz w:val="16"/>
      <w:szCs w:val="16"/>
    </w:rPr>
  </w:style>
  <w:style w:type="character" w:customStyle="1" w:styleId="Tekstpodstawowy3Znak">
    <w:name w:val="Tekst podstawowy 3 Znak"/>
    <w:basedOn w:val="Domylnaczcionkaakapitu"/>
    <w:link w:val="Tekstpodstawowy3"/>
    <w:uiPriority w:val="99"/>
    <w:rsid w:val="003E2662"/>
    <w:rPr>
      <w:sz w:val="16"/>
      <w:szCs w:val="16"/>
    </w:rPr>
  </w:style>
  <w:style w:type="paragraph" w:styleId="Akapitzlist">
    <w:name w:val="List Paragraph"/>
    <w:basedOn w:val="Normalny"/>
    <w:link w:val="AkapitzlistZnak"/>
    <w:uiPriority w:val="34"/>
    <w:qFormat/>
    <w:rsid w:val="003E2662"/>
    <w:pPr>
      <w:ind w:left="720"/>
      <w:contextualSpacing/>
    </w:pPr>
  </w:style>
  <w:style w:type="paragraph" w:styleId="Tekstdymka">
    <w:name w:val="Balloon Text"/>
    <w:basedOn w:val="Normalny"/>
    <w:link w:val="TekstdymkaZnak"/>
    <w:uiPriority w:val="99"/>
    <w:semiHidden/>
    <w:unhideWhenUsed/>
    <w:rsid w:val="003E2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662"/>
    <w:rPr>
      <w:rFonts w:ascii="Segoe UI" w:hAnsi="Segoe UI" w:cs="Segoe UI"/>
      <w:sz w:val="18"/>
      <w:szCs w:val="18"/>
    </w:rPr>
  </w:style>
  <w:style w:type="paragraph" w:customStyle="1" w:styleId="Default">
    <w:name w:val="Default"/>
    <w:rsid w:val="0064396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927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72E"/>
  </w:style>
  <w:style w:type="paragraph" w:styleId="Stopka">
    <w:name w:val="footer"/>
    <w:basedOn w:val="Normalny"/>
    <w:link w:val="StopkaZnak"/>
    <w:uiPriority w:val="99"/>
    <w:unhideWhenUsed/>
    <w:rsid w:val="000927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72E"/>
  </w:style>
  <w:style w:type="paragraph" w:customStyle="1" w:styleId="selectionshareable">
    <w:name w:val="selectionshareable"/>
    <w:basedOn w:val="Normalny"/>
    <w:rsid w:val="006D04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048B"/>
    <w:rPr>
      <w:b/>
      <w:bCs/>
    </w:rPr>
  </w:style>
  <w:style w:type="character" w:customStyle="1" w:styleId="Nagwek1Znak">
    <w:name w:val="Nagłówek 1 Znak"/>
    <w:basedOn w:val="Domylnaczcionkaakapitu"/>
    <w:link w:val="Nagwek1"/>
    <w:uiPriority w:val="9"/>
    <w:rsid w:val="00D902FC"/>
    <w:rPr>
      <w:rFonts w:ascii="Arial" w:eastAsia="Times New Roman" w:hAnsi="Arial" w:cs="Arial"/>
      <w:b/>
      <w:bCs/>
      <w:color w:val="000000" w:themeColor="text1"/>
      <w:sz w:val="24"/>
      <w:szCs w:val="24"/>
      <w:shd w:val="clear" w:color="auto" w:fill="FFFFFF"/>
      <w:lang w:eastAsia="pl-PL"/>
    </w:rPr>
  </w:style>
  <w:style w:type="paragraph" w:styleId="Tekstprzypisudolnego">
    <w:name w:val="footnote text"/>
    <w:basedOn w:val="Normalny"/>
    <w:link w:val="TekstprzypisudolnegoZnak"/>
    <w:uiPriority w:val="99"/>
    <w:semiHidden/>
    <w:unhideWhenUsed/>
    <w:rsid w:val="00607B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7B98"/>
    <w:rPr>
      <w:sz w:val="20"/>
      <w:szCs w:val="20"/>
    </w:rPr>
  </w:style>
  <w:style w:type="character" w:styleId="Odwoanieprzypisudolnego">
    <w:name w:val="footnote reference"/>
    <w:basedOn w:val="Domylnaczcionkaakapitu"/>
    <w:uiPriority w:val="99"/>
    <w:semiHidden/>
    <w:unhideWhenUsed/>
    <w:rsid w:val="00607B98"/>
    <w:rPr>
      <w:vertAlign w:val="superscript"/>
    </w:rPr>
  </w:style>
  <w:style w:type="character" w:customStyle="1" w:styleId="Nagwek2Znak">
    <w:name w:val="Nagłówek 2 Znak"/>
    <w:basedOn w:val="Domylnaczcionkaakapitu"/>
    <w:link w:val="Nagwek2"/>
    <w:uiPriority w:val="9"/>
    <w:rsid w:val="00D902FC"/>
    <w:rPr>
      <w:rFonts w:ascii="Arial" w:eastAsia="Times New Roman" w:hAnsi="Arial" w:cstheme="majorBidi"/>
      <w:b/>
      <w:sz w:val="24"/>
      <w:szCs w:val="36"/>
      <w:lang w:eastAsia="pl-PL"/>
    </w:rPr>
  </w:style>
  <w:style w:type="character" w:customStyle="1" w:styleId="Nagwek3Znak">
    <w:name w:val="Nagłówek 3 Znak"/>
    <w:basedOn w:val="Domylnaczcionkaakapitu"/>
    <w:link w:val="Nagwek3"/>
    <w:uiPriority w:val="9"/>
    <w:rsid w:val="00D902FC"/>
    <w:rPr>
      <w:rFonts w:ascii="Arial" w:eastAsia="Times New Roman" w:hAnsi="Arial" w:cstheme="majorBidi"/>
      <w:sz w:val="24"/>
      <w:szCs w:val="28"/>
      <w:lang w:eastAsia="pl-PL"/>
    </w:rPr>
  </w:style>
  <w:style w:type="character" w:customStyle="1" w:styleId="Nagwek4Znak">
    <w:name w:val="Nagłówek 4 Znak"/>
    <w:basedOn w:val="Domylnaczcionkaakapitu"/>
    <w:link w:val="Nagwek4"/>
    <w:uiPriority w:val="9"/>
    <w:semiHidden/>
    <w:rsid w:val="005F75F7"/>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5F75F7"/>
    <w:rPr>
      <w:rFonts w:asciiTheme="majorHAnsi" w:eastAsiaTheme="majorEastAsia" w:hAnsiTheme="majorHAnsi" w:cstheme="majorBidi"/>
      <w:i/>
      <w:iCs/>
    </w:rPr>
  </w:style>
  <w:style w:type="character" w:customStyle="1" w:styleId="Nagwek6Znak">
    <w:name w:val="Nagłówek 6 Znak"/>
    <w:basedOn w:val="Domylnaczcionkaakapitu"/>
    <w:link w:val="Nagwek6"/>
    <w:uiPriority w:val="9"/>
    <w:semiHidden/>
    <w:rsid w:val="005F75F7"/>
    <w:rPr>
      <w:rFonts w:asciiTheme="majorHAnsi" w:eastAsiaTheme="majorEastAsia" w:hAnsiTheme="majorHAnsi" w:cstheme="majorBidi"/>
      <w:color w:val="595959" w:themeColor="text1" w:themeTint="A6"/>
      <w:sz w:val="21"/>
      <w:szCs w:val="21"/>
    </w:rPr>
  </w:style>
  <w:style w:type="character" w:customStyle="1" w:styleId="Nagwek7Znak">
    <w:name w:val="Nagłówek 7 Znak"/>
    <w:basedOn w:val="Domylnaczcionkaakapitu"/>
    <w:link w:val="Nagwek7"/>
    <w:uiPriority w:val="9"/>
    <w:semiHidden/>
    <w:rsid w:val="005F75F7"/>
    <w:rPr>
      <w:rFonts w:asciiTheme="majorHAnsi" w:eastAsiaTheme="majorEastAsia" w:hAnsiTheme="majorHAnsi" w:cstheme="majorBidi"/>
      <w:i/>
      <w:iCs/>
      <w:color w:val="595959" w:themeColor="text1" w:themeTint="A6"/>
      <w:sz w:val="21"/>
      <w:szCs w:val="21"/>
    </w:rPr>
  </w:style>
  <w:style w:type="character" w:customStyle="1" w:styleId="Nagwek8Znak">
    <w:name w:val="Nagłówek 8 Znak"/>
    <w:basedOn w:val="Domylnaczcionkaakapitu"/>
    <w:link w:val="Nagwek8"/>
    <w:uiPriority w:val="9"/>
    <w:semiHidden/>
    <w:rsid w:val="005F75F7"/>
    <w:rPr>
      <w:rFonts w:asciiTheme="majorHAnsi" w:eastAsiaTheme="majorEastAsia" w:hAnsiTheme="majorHAnsi" w:cstheme="majorBidi"/>
      <w:smallCaps/>
      <w:color w:val="595959" w:themeColor="text1" w:themeTint="A6"/>
      <w:sz w:val="21"/>
      <w:szCs w:val="21"/>
    </w:rPr>
  </w:style>
  <w:style w:type="character" w:customStyle="1" w:styleId="Nagwek9Znak">
    <w:name w:val="Nagłówek 9 Znak"/>
    <w:basedOn w:val="Domylnaczcionkaakapitu"/>
    <w:link w:val="Nagwek9"/>
    <w:uiPriority w:val="9"/>
    <w:semiHidden/>
    <w:rsid w:val="005F75F7"/>
    <w:rPr>
      <w:rFonts w:asciiTheme="majorHAnsi" w:eastAsiaTheme="majorEastAsia" w:hAnsiTheme="majorHAnsi" w:cstheme="majorBidi"/>
      <w:i/>
      <w:iCs/>
      <w:smallCaps/>
      <w:color w:val="595959" w:themeColor="text1" w:themeTint="A6"/>
      <w:sz w:val="21"/>
      <w:szCs w:val="21"/>
    </w:rPr>
  </w:style>
  <w:style w:type="numbering" w:customStyle="1" w:styleId="Bezlisty1">
    <w:name w:val="Bez listy1"/>
    <w:next w:val="Bezlisty"/>
    <w:uiPriority w:val="99"/>
    <w:semiHidden/>
    <w:unhideWhenUsed/>
    <w:rsid w:val="005F75F7"/>
  </w:style>
  <w:style w:type="paragraph" w:styleId="Bezodstpw">
    <w:name w:val="No Spacing"/>
    <w:link w:val="BezodstpwZnak"/>
    <w:uiPriority w:val="1"/>
    <w:qFormat/>
    <w:rsid w:val="005F75F7"/>
    <w:pPr>
      <w:spacing w:after="0" w:line="240" w:lineRule="auto"/>
    </w:pPr>
    <w:rPr>
      <w:rFonts w:eastAsiaTheme="minorEastAsia"/>
      <w:sz w:val="21"/>
      <w:szCs w:val="21"/>
    </w:rPr>
  </w:style>
  <w:style w:type="character" w:customStyle="1" w:styleId="BezodstpwZnak">
    <w:name w:val="Bez odstępów Znak"/>
    <w:link w:val="Bezodstpw"/>
    <w:uiPriority w:val="1"/>
    <w:rsid w:val="005F75F7"/>
    <w:rPr>
      <w:rFonts w:eastAsiaTheme="minorEastAsia"/>
      <w:sz w:val="21"/>
      <w:szCs w:val="21"/>
    </w:rPr>
  </w:style>
  <w:style w:type="paragraph" w:styleId="Legenda">
    <w:name w:val="caption"/>
    <w:basedOn w:val="Normalny"/>
    <w:next w:val="Normalny"/>
    <w:uiPriority w:val="35"/>
    <w:unhideWhenUsed/>
    <w:qFormat/>
    <w:rsid w:val="00D902FC"/>
    <w:pPr>
      <w:spacing w:before="120" w:after="120" w:line="276" w:lineRule="auto"/>
    </w:pPr>
    <w:rPr>
      <w:rFonts w:ascii="Arial" w:eastAsiaTheme="minorEastAsia" w:hAnsi="Arial"/>
      <w:bCs/>
      <w:color w:val="000000" w:themeColor="text1"/>
      <w:sz w:val="20"/>
      <w:szCs w:val="20"/>
    </w:rPr>
  </w:style>
  <w:style w:type="character" w:customStyle="1" w:styleId="AkapitzlistZnak">
    <w:name w:val="Akapit z listą Znak"/>
    <w:link w:val="Akapitzlist"/>
    <w:uiPriority w:val="34"/>
    <w:rsid w:val="005F75F7"/>
  </w:style>
  <w:style w:type="paragraph" w:styleId="Tytu">
    <w:name w:val="Title"/>
    <w:basedOn w:val="Normalny"/>
    <w:next w:val="Normalny"/>
    <w:link w:val="TytuZnak"/>
    <w:uiPriority w:val="10"/>
    <w:qFormat/>
    <w:rsid w:val="005F75F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5F75F7"/>
    <w:rPr>
      <w:rFonts w:asciiTheme="majorHAnsi" w:eastAsiaTheme="majorEastAsia" w:hAnsiTheme="majorHAnsi" w:cstheme="majorBidi"/>
      <w:color w:val="2E74B5" w:themeColor="accent1" w:themeShade="BF"/>
      <w:spacing w:val="-7"/>
      <w:sz w:val="80"/>
      <w:szCs w:val="80"/>
    </w:rPr>
  </w:style>
  <w:style w:type="paragraph" w:styleId="Podtytu">
    <w:name w:val="Subtitle"/>
    <w:basedOn w:val="Normalny"/>
    <w:next w:val="Normalny"/>
    <w:link w:val="PodtytuZnak"/>
    <w:uiPriority w:val="11"/>
    <w:qFormat/>
    <w:rsid w:val="005F75F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5F75F7"/>
    <w:rPr>
      <w:rFonts w:asciiTheme="majorHAnsi" w:eastAsiaTheme="majorEastAsia" w:hAnsiTheme="majorHAnsi" w:cstheme="majorBidi"/>
      <w:color w:val="404040" w:themeColor="text1" w:themeTint="BF"/>
      <w:sz w:val="30"/>
      <w:szCs w:val="30"/>
    </w:rPr>
  </w:style>
  <w:style w:type="character" w:styleId="Uwydatnienie">
    <w:name w:val="Emphasis"/>
    <w:basedOn w:val="Domylnaczcionkaakapitu"/>
    <w:uiPriority w:val="20"/>
    <w:qFormat/>
    <w:rsid w:val="005F75F7"/>
    <w:rPr>
      <w:i/>
      <w:iCs/>
    </w:rPr>
  </w:style>
  <w:style w:type="paragraph" w:styleId="Cytat">
    <w:name w:val="Quote"/>
    <w:basedOn w:val="Normalny"/>
    <w:next w:val="Normalny"/>
    <w:link w:val="CytatZnak"/>
    <w:uiPriority w:val="29"/>
    <w:qFormat/>
    <w:rsid w:val="005F75F7"/>
    <w:pPr>
      <w:spacing w:before="240" w:after="240" w:line="252" w:lineRule="auto"/>
      <w:ind w:left="864" w:right="864"/>
      <w:jc w:val="center"/>
    </w:pPr>
    <w:rPr>
      <w:rFonts w:eastAsiaTheme="minorEastAsia"/>
      <w:i/>
      <w:iCs/>
      <w:sz w:val="21"/>
      <w:szCs w:val="21"/>
    </w:rPr>
  </w:style>
  <w:style w:type="character" w:customStyle="1" w:styleId="CytatZnak">
    <w:name w:val="Cytat Znak"/>
    <w:basedOn w:val="Domylnaczcionkaakapitu"/>
    <w:link w:val="Cytat"/>
    <w:uiPriority w:val="29"/>
    <w:rsid w:val="005F75F7"/>
    <w:rPr>
      <w:rFonts w:eastAsiaTheme="minorEastAsia"/>
      <w:i/>
      <w:iCs/>
      <w:sz w:val="21"/>
      <w:szCs w:val="21"/>
    </w:rPr>
  </w:style>
  <w:style w:type="paragraph" w:styleId="Cytatintensywny">
    <w:name w:val="Intense Quote"/>
    <w:basedOn w:val="Normalny"/>
    <w:next w:val="Normalny"/>
    <w:link w:val="CytatintensywnyZnak"/>
    <w:uiPriority w:val="30"/>
    <w:qFormat/>
    <w:rsid w:val="005F75F7"/>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5F75F7"/>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5F75F7"/>
    <w:rPr>
      <w:i/>
      <w:iCs/>
      <w:color w:val="595959" w:themeColor="text1" w:themeTint="A6"/>
    </w:rPr>
  </w:style>
  <w:style w:type="character" w:styleId="Wyrnienieintensywne">
    <w:name w:val="Intense Emphasis"/>
    <w:basedOn w:val="Domylnaczcionkaakapitu"/>
    <w:uiPriority w:val="21"/>
    <w:qFormat/>
    <w:rsid w:val="005F75F7"/>
    <w:rPr>
      <w:b/>
      <w:bCs/>
      <w:i/>
      <w:iCs/>
    </w:rPr>
  </w:style>
  <w:style w:type="character" w:styleId="Odwoaniedelikatne">
    <w:name w:val="Subtle Reference"/>
    <w:basedOn w:val="Domylnaczcionkaakapitu"/>
    <w:uiPriority w:val="31"/>
    <w:qFormat/>
    <w:rsid w:val="005F75F7"/>
    <w:rPr>
      <w:smallCaps/>
      <w:color w:val="404040" w:themeColor="text1" w:themeTint="BF"/>
    </w:rPr>
  </w:style>
  <w:style w:type="character" w:styleId="Odwoanieintensywne">
    <w:name w:val="Intense Reference"/>
    <w:basedOn w:val="Domylnaczcionkaakapitu"/>
    <w:uiPriority w:val="32"/>
    <w:qFormat/>
    <w:rsid w:val="005F75F7"/>
    <w:rPr>
      <w:b/>
      <w:bCs/>
      <w:smallCaps/>
      <w:u w:val="single"/>
    </w:rPr>
  </w:style>
  <w:style w:type="character" w:styleId="Tytuksiki">
    <w:name w:val="Book Title"/>
    <w:basedOn w:val="Domylnaczcionkaakapitu"/>
    <w:uiPriority w:val="33"/>
    <w:qFormat/>
    <w:rsid w:val="005F75F7"/>
    <w:rPr>
      <w:b/>
      <w:bCs/>
      <w:smallCaps/>
    </w:rPr>
  </w:style>
  <w:style w:type="paragraph" w:styleId="Nagwekspisutreci">
    <w:name w:val="TOC Heading"/>
    <w:basedOn w:val="Nagwek1"/>
    <w:next w:val="Normalny"/>
    <w:uiPriority w:val="39"/>
    <w:semiHidden/>
    <w:unhideWhenUsed/>
    <w:qFormat/>
    <w:rsid w:val="005F75F7"/>
    <w:pPr>
      <w:spacing w:before="400" w:line="240" w:lineRule="auto"/>
      <w:outlineLvl w:val="9"/>
    </w:pPr>
    <w:rPr>
      <w:color w:val="auto"/>
      <w:szCs w:val="36"/>
    </w:rPr>
  </w:style>
  <w:style w:type="paragraph" w:styleId="Spisilustracji">
    <w:name w:val="table of figures"/>
    <w:basedOn w:val="Normalny"/>
    <w:next w:val="Normalny"/>
    <w:uiPriority w:val="99"/>
    <w:unhideWhenUsed/>
    <w:rsid w:val="005F75F7"/>
    <w:pPr>
      <w:spacing w:after="0" w:line="264" w:lineRule="auto"/>
    </w:pPr>
    <w:rPr>
      <w:rFonts w:eastAsiaTheme="minorEastAsia"/>
      <w:sz w:val="21"/>
      <w:szCs w:val="21"/>
    </w:rPr>
  </w:style>
  <w:style w:type="character" w:styleId="Hipercze">
    <w:name w:val="Hyperlink"/>
    <w:basedOn w:val="Domylnaczcionkaakapitu"/>
    <w:uiPriority w:val="99"/>
    <w:unhideWhenUsed/>
    <w:rsid w:val="005F75F7"/>
    <w:rPr>
      <w:color w:val="0563C1" w:themeColor="hyperlink"/>
      <w:u w:val="single"/>
    </w:rPr>
  </w:style>
  <w:style w:type="character" w:styleId="UyteHipercze">
    <w:name w:val="FollowedHyperlink"/>
    <w:basedOn w:val="Domylnaczcionkaakapitu"/>
    <w:uiPriority w:val="99"/>
    <w:semiHidden/>
    <w:unhideWhenUsed/>
    <w:rsid w:val="005F7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9378">
      <w:bodyDiv w:val="1"/>
      <w:marLeft w:val="0"/>
      <w:marRight w:val="0"/>
      <w:marTop w:val="0"/>
      <w:marBottom w:val="0"/>
      <w:divBdr>
        <w:top w:val="none" w:sz="0" w:space="0" w:color="auto"/>
        <w:left w:val="none" w:sz="0" w:space="0" w:color="auto"/>
        <w:bottom w:val="none" w:sz="0" w:space="0" w:color="auto"/>
        <w:right w:val="none" w:sz="0" w:space="0" w:color="auto"/>
      </w:divBdr>
    </w:div>
    <w:div w:id="105078499">
      <w:bodyDiv w:val="1"/>
      <w:marLeft w:val="0"/>
      <w:marRight w:val="0"/>
      <w:marTop w:val="0"/>
      <w:marBottom w:val="0"/>
      <w:divBdr>
        <w:top w:val="none" w:sz="0" w:space="0" w:color="auto"/>
        <w:left w:val="none" w:sz="0" w:space="0" w:color="auto"/>
        <w:bottom w:val="none" w:sz="0" w:space="0" w:color="auto"/>
        <w:right w:val="none" w:sz="0" w:space="0" w:color="auto"/>
      </w:divBdr>
    </w:div>
    <w:div w:id="1127507249">
      <w:bodyDiv w:val="1"/>
      <w:marLeft w:val="0"/>
      <w:marRight w:val="0"/>
      <w:marTop w:val="0"/>
      <w:marBottom w:val="0"/>
      <w:divBdr>
        <w:top w:val="none" w:sz="0" w:space="0" w:color="auto"/>
        <w:left w:val="none" w:sz="0" w:space="0" w:color="auto"/>
        <w:bottom w:val="none" w:sz="0" w:space="0" w:color="auto"/>
        <w:right w:val="none" w:sz="0" w:space="0" w:color="auto"/>
      </w:divBdr>
    </w:div>
    <w:div w:id="1164205117">
      <w:bodyDiv w:val="1"/>
      <w:marLeft w:val="0"/>
      <w:marRight w:val="0"/>
      <w:marTop w:val="0"/>
      <w:marBottom w:val="0"/>
      <w:divBdr>
        <w:top w:val="none" w:sz="0" w:space="0" w:color="auto"/>
        <w:left w:val="none" w:sz="0" w:space="0" w:color="auto"/>
        <w:bottom w:val="none" w:sz="0" w:space="0" w:color="auto"/>
        <w:right w:val="none" w:sz="0" w:space="0" w:color="auto"/>
      </w:divBdr>
    </w:div>
    <w:div w:id="1303998378">
      <w:bodyDiv w:val="1"/>
      <w:marLeft w:val="0"/>
      <w:marRight w:val="0"/>
      <w:marTop w:val="0"/>
      <w:marBottom w:val="0"/>
      <w:divBdr>
        <w:top w:val="none" w:sz="0" w:space="0" w:color="auto"/>
        <w:left w:val="none" w:sz="0" w:space="0" w:color="auto"/>
        <w:bottom w:val="none" w:sz="0" w:space="0" w:color="auto"/>
        <w:right w:val="none" w:sz="0" w:space="0" w:color="auto"/>
      </w:divBdr>
    </w:div>
    <w:div w:id="1459447746">
      <w:bodyDiv w:val="1"/>
      <w:marLeft w:val="0"/>
      <w:marRight w:val="0"/>
      <w:marTop w:val="0"/>
      <w:marBottom w:val="0"/>
      <w:divBdr>
        <w:top w:val="none" w:sz="0" w:space="0" w:color="auto"/>
        <w:left w:val="none" w:sz="0" w:space="0" w:color="auto"/>
        <w:bottom w:val="none" w:sz="0" w:space="0" w:color="auto"/>
        <w:right w:val="none" w:sz="0" w:space="0" w:color="auto"/>
      </w:divBdr>
    </w:div>
    <w:div w:id="16405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84D5-9768-4AAE-AC4F-795FCBF6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3610</Words>
  <Characters>21666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Uchwała Nr 443_9121_22</vt:lpstr>
    </vt:vector>
  </TitlesOfParts>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550_11652_23</dc:title>
  <dc:subject/>
  <dc:creator>Chwałka Marzena</dc:creator>
  <cp:keywords/>
  <dc:description/>
  <cp:lastModifiedBy>.</cp:lastModifiedBy>
  <cp:revision>13</cp:revision>
  <cp:lastPrinted>2023-12-19T13:25:00Z</cp:lastPrinted>
  <dcterms:created xsi:type="dcterms:W3CDTF">2023-12-07T23:44:00Z</dcterms:created>
  <dcterms:modified xsi:type="dcterms:W3CDTF">2023-12-21T10:58:00Z</dcterms:modified>
</cp:coreProperties>
</file>